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E14E5E" w14:textId="5665CC21" w:rsidR="002B1A6D" w:rsidRDefault="00000000">
      <w:pPr>
        <w:tabs>
          <w:tab w:val="center" w:pos="4536"/>
          <w:tab w:val="right" w:pos="7938"/>
          <w:tab w:val="right" w:pos="9639"/>
        </w:tabs>
        <w:ind w:right="2"/>
        <w:rPr>
          <w:rFonts w:ascii="Arial" w:hAnsi="Arial" w:cs="Arial"/>
          <w:b/>
          <w:bCs/>
          <w:sz w:val="24"/>
          <w:szCs w:val="24"/>
          <w:highlight w:val="yellow"/>
          <w:lang w:eastAsia="zh-CN"/>
        </w:rPr>
      </w:pPr>
      <w:r>
        <w:rPr>
          <w:rFonts w:ascii="Arial" w:hAnsi="Arial" w:cs="Arial"/>
          <w:b/>
          <w:bCs/>
          <w:sz w:val="24"/>
          <w:szCs w:val="24"/>
        </w:rPr>
        <w:t>3GPP TSG RAN WG1 #1</w:t>
      </w:r>
      <w:r>
        <w:rPr>
          <w:rFonts w:ascii="Arial" w:hAnsi="Arial" w:cs="Arial" w:hint="eastAsia"/>
          <w:b/>
          <w:bCs/>
          <w:sz w:val="24"/>
          <w:szCs w:val="24"/>
          <w:lang w:eastAsia="zh-CN"/>
        </w:rPr>
        <w:t>22</w:t>
      </w:r>
      <w:r>
        <w:rPr>
          <w:rFonts w:ascii="Arial" w:hAnsi="Arial" w:cs="Arial" w:hint="eastAsia"/>
          <w:b/>
          <w:bCs/>
          <w:sz w:val="24"/>
          <w:szCs w:val="24"/>
          <w:lang w:val="de-DE" w:eastAsia="zh-CN"/>
        </w:rPr>
        <w:t>bis</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sidR="00E0577C" w:rsidRPr="00E0577C">
        <w:rPr>
          <w:rFonts w:ascii="Arial" w:hAnsi="Arial" w:cs="Arial"/>
          <w:b/>
          <w:bCs/>
          <w:sz w:val="24"/>
          <w:szCs w:val="24"/>
        </w:rPr>
        <w:t>R1-2507335</w:t>
      </w:r>
    </w:p>
    <w:p w14:paraId="5F88738B" w14:textId="77777777" w:rsidR="002B1A6D" w:rsidRDefault="00000000">
      <w:pPr>
        <w:tabs>
          <w:tab w:val="center" w:pos="4536"/>
          <w:tab w:val="right" w:pos="7938"/>
          <w:tab w:val="right" w:pos="9639"/>
        </w:tabs>
        <w:ind w:right="2"/>
        <w:rPr>
          <w:rFonts w:ascii="Arial" w:hAnsi="Arial" w:cs="Arial"/>
          <w:b/>
          <w:bCs/>
          <w:sz w:val="24"/>
          <w:szCs w:val="24"/>
          <w:lang w:eastAsia="ja-JP"/>
        </w:rPr>
      </w:pPr>
      <w:r>
        <w:rPr>
          <w:rFonts w:ascii="Arial" w:hAnsi="Arial" w:cs="Arial" w:hint="eastAsia"/>
          <w:b/>
          <w:bCs/>
          <w:sz w:val="24"/>
          <w:szCs w:val="24"/>
          <w:lang w:val="de-DE" w:eastAsia="ja-JP"/>
        </w:rPr>
        <w:t>Prague</w:t>
      </w:r>
      <w:r>
        <w:rPr>
          <w:rFonts w:ascii="Arial" w:hAnsi="Arial" w:cs="Arial"/>
          <w:b/>
          <w:bCs/>
          <w:sz w:val="24"/>
          <w:szCs w:val="24"/>
          <w:lang w:val="de-DE" w:eastAsia="ja-JP"/>
        </w:rPr>
        <w:t xml:space="preserve">, </w:t>
      </w:r>
      <w:r>
        <w:rPr>
          <w:rFonts w:ascii="Arial" w:hAnsi="Arial" w:cs="Arial" w:hint="eastAsia"/>
          <w:b/>
          <w:bCs/>
          <w:sz w:val="24"/>
          <w:szCs w:val="24"/>
          <w:lang w:val="de-DE" w:eastAsia="ja-JP"/>
        </w:rPr>
        <w:t>Czech</w:t>
      </w:r>
      <w:r>
        <w:rPr>
          <w:rFonts w:ascii="Arial" w:hAnsi="Arial" w:cs="Arial"/>
          <w:b/>
          <w:bCs/>
          <w:sz w:val="24"/>
          <w:szCs w:val="24"/>
          <w:lang w:val="de-DE" w:eastAsia="ja-JP"/>
        </w:rPr>
        <w:t xml:space="preserve">, </w:t>
      </w:r>
      <w:r>
        <w:rPr>
          <w:rFonts w:ascii="Arial" w:hAnsi="Arial" w:cs="Arial" w:hint="eastAsia"/>
          <w:b/>
          <w:bCs/>
          <w:sz w:val="24"/>
          <w:szCs w:val="24"/>
          <w:lang w:val="de-DE" w:eastAsia="ja-JP"/>
        </w:rPr>
        <w:t>Oct 13th</w:t>
      </w:r>
      <w:r>
        <w:rPr>
          <w:rFonts w:ascii="Arial" w:hAnsi="Arial" w:cs="Arial"/>
          <w:b/>
          <w:bCs/>
          <w:sz w:val="24"/>
          <w:szCs w:val="24"/>
          <w:lang w:val="de-DE" w:eastAsia="ja-JP"/>
        </w:rPr>
        <w:t xml:space="preserve"> – </w:t>
      </w:r>
      <w:r>
        <w:rPr>
          <w:rFonts w:ascii="Arial" w:hAnsi="Arial" w:cs="Arial" w:hint="eastAsia"/>
          <w:b/>
          <w:bCs/>
          <w:sz w:val="24"/>
          <w:szCs w:val="24"/>
          <w:lang w:val="de-DE" w:eastAsia="ja-JP"/>
        </w:rPr>
        <w:t>17</w:t>
      </w:r>
      <w:r>
        <w:rPr>
          <w:rFonts w:ascii="Arial" w:hAnsi="Arial" w:cs="Arial"/>
          <w:b/>
          <w:bCs/>
          <w:sz w:val="24"/>
          <w:szCs w:val="24"/>
          <w:lang w:val="de-DE" w:eastAsia="ja-JP"/>
        </w:rPr>
        <w:t>th, 2025</w:t>
      </w:r>
    </w:p>
    <w:p w14:paraId="10C594F5" w14:textId="77777777" w:rsidR="002B1A6D" w:rsidRDefault="00000000">
      <w:pPr>
        <w:pStyle w:val="CRCoverPage"/>
        <w:rPr>
          <w:rFonts w:eastAsia="宋体" w:cs="Arial"/>
          <w:b/>
          <w:bCs/>
          <w:sz w:val="24"/>
          <w:lang w:val="en-US" w:eastAsia="zh-CN"/>
        </w:rPr>
      </w:pPr>
      <w:r>
        <w:rPr>
          <w:rFonts w:cs="Arial"/>
          <w:b/>
          <w:bCs/>
          <w:sz w:val="24"/>
          <w:lang w:val="en-US"/>
        </w:rPr>
        <w:t>Agenda item:</w:t>
      </w:r>
      <w:r>
        <w:rPr>
          <w:rFonts w:cs="Arial"/>
          <w:b/>
          <w:bCs/>
          <w:sz w:val="24"/>
          <w:lang w:val="en-US"/>
        </w:rPr>
        <w:tab/>
      </w:r>
      <w:r>
        <w:rPr>
          <w:rFonts w:eastAsia="宋体" w:cs="Arial"/>
          <w:b/>
          <w:bCs/>
          <w:sz w:val="24"/>
          <w:lang w:val="en-US" w:eastAsia="zh-CN"/>
        </w:rPr>
        <w:tab/>
      </w:r>
      <w:r>
        <w:rPr>
          <w:rFonts w:eastAsia="宋体" w:cs="Arial" w:hint="eastAsia"/>
          <w:b/>
          <w:bCs/>
          <w:sz w:val="24"/>
          <w:lang w:val="en-US" w:eastAsia="zh-CN"/>
        </w:rPr>
        <w:t>11.3.2</w:t>
      </w:r>
    </w:p>
    <w:p w14:paraId="06F03F58" w14:textId="77777777" w:rsidR="002B1A6D" w:rsidRDefault="00000000">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49BAB942" w14:textId="77777777" w:rsidR="002B1A6D" w:rsidRDefault="00000000">
      <w:pPr>
        <w:tabs>
          <w:tab w:val="left" w:pos="1985"/>
        </w:tabs>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ascii="Arial" w:hAnsi="Arial" w:cs="Arial" w:hint="eastAsia"/>
          <w:b/>
          <w:bCs/>
          <w:sz w:val="24"/>
          <w:lang w:eastAsia="zh-CN"/>
        </w:rPr>
        <w:t xml:space="preserve">Discussion on 6G </w:t>
      </w:r>
      <w:r>
        <w:rPr>
          <w:rFonts w:ascii="Arial" w:hAnsi="Arial" w:cs="Arial"/>
          <w:b/>
          <w:bCs/>
          <w:sz w:val="24"/>
          <w:lang w:eastAsia="zh-CN"/>
        </w:rPr>
        <w:t>frame structure</w:t>
      </w:r>
    </w:p>
    <w:p w14:paraId="1B61EBDA" w14:textId="77777777" w:rsidR="002B1A6D" w:rsidRDefault="00000000">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p>
    <w:p w14:paraId="16A1B9A1" w14:textId="77777777" w:rsidR="002B1A6D" w:rsidRDefault="00000000">
      <w:pPr>
        <w:pStyle w:val="1"/>
      </w:pPr>
      <w:r>
        <w:t>Introduction</w:t>
      </w:r>
    </w:p>
    <w:p w14:paraId="555B0824" w14:textId="77777777" w:rsidR="002B1A6D" w:rsidRDefault="00000000">
      <w:pPr>
        <w:pStyle w:val="a6"/>
        <w:jc w:val="both"/>
        <w:rPr>
          <w:color w:val="000000" w:themeColor="text1"/>
          <w:lang w:eastAsia="zh-CN"/>
        </w:rPr>
      </w:pPr>
      <w:bookmarkStart w:id="0" w:name="OLE_LINK8"/>
      <w:bookmarkStart w:id="1" w:name="OLE_LINK5"/>
      <w:r>
        <w:rPr>
          <w:rFonts w:hint="eastAsia"/>
          <w:lang w:val="en-US" w:eastAsia="zh-CN"/>
        </w:rPr>
        <w:t>In</w:t>
      </w:r>
      <w:r>
        <w:rPr>
          <w:lang w:val="en-US" w:eastAsia="zh-CN"/>
        </w:rPr>
        <w:t xml:space="preserve"> </w:t>
      </w:r>
      <w:r>
        <w:rPr>
          <w:rFonts w:hint="eastAsia"/>
          <w:lang w:val="en-US" w:eastAsia="zh-CN"/>
        </w:rPr>
        <w:t xml:space="preserve">RAN #108 meeting, the New SID for </w:t>
      </w:r>
      <w:r>
        <w:rPr>
          <w:lang w:val="en-US" w:eastAsia="zh-CN"/>
        </w:rPr>
        <w:t>“</w:t>
      </w:r>
      <w:r>
        <w:rPr>
          <w:rFonts w:hint="eastAsia"/>
          <w:lang w:val="en-US" w:eastAsia="zh-CN"/>
        </w:rPr>
        <w:t>Study on 6G Radio</w:t>
      </w:r>
      <w:r>
        <w:rPr>
          <w:lang w:val="en-US" w:eastAsia="zh-CN"/>
        </w:rPr>
        <w:t>”</w:t>
      </w:r>
      <w:r>
        <w:rPr>
          <w:rFonts w:hint="eastAsia"/>
          <w:lang w:val="en-US" w:eastAsia="zh-CN"/>
        </w:rPr>
        <w:t xml:space="preserve"> was approved</w:t>
      </w:r>
      <w:r>
        <w:rPr>
          <w:color w:val="000000" w:themeColor="text1"/>
        </w:rPr>
        <w:t xml:space="preserve"> </w:t>
      </w:r>
      <w:r>
        <w:rPr>
          <w:rFonts w:hint="eastAsia"/>
          <w:color w:val="000000" w:themeColor="text1"/>
          <w:lang w:eastAsia="zh-CN"/>
        </w:rPr>
        <w:t xml:space="preserve">[1] </w:t>
      </w:r>
      <w:r>
        <w:rPr>
          <w:color w:val="000000" w:themeColor="text1"/>
        </w:rPr>
        <w:t>aims to develop 6GR to meet a broad range of use cases, and requirements as defined during the RAN requirements study</w:t>
      </w:r>
      <w:r>
        <w:rPr>
          <w:rFonts w:hint="eastAsia"/>
          <w:color w:val="000000" w:themeColor="text1"/>
          <w:lang w:eastAsia="zh-CN"/>
        </w:rPr>
        <w:t>. With respect to frame structure, the following objectives are determined:</w:t>
      </w:r>
    </w:p>
    <w:tbl>
      <w:tblPr>
        <w:tblStyle w:val="ac"/>
        <w:tblW w:w="0" w:type="auto"/>
        <w:tblLook w:val="04A0" w:firstRow="1" w:lastRow="0" w:firstColumn="1" w:lastColumn="0" w:noHBand="0" w:noVBand="1"/>
      </w:tblPr>
      <w:tblGrid>
        <w:gridCol w:w="9629"/>
      </w:tblGrid>
      <w:tr w:rsidR="002B1A6D" w14:paraId="2B6E56AB" w14:textId="77777777">
        <w:trPr>
          <w:trHeight w:val="1574"/>
        </w:trPr>
        <w:tc>
          <w:tcPr>
            <w:tcW w:w="9629" w:type="dxa"/>
          </w:tcPr>
          <w:p w14:paraId="20541ED4" w14:textId="77777777" w:rsidR="002B1A6D" w:rsidRDefault="002B1A6D">
            <w:pPr>
              <w:spacing w:after="120"/>
              <w:ind w:leftChars="-225" w:left="-450"/>
              <w:contextualSpacing/>
              <w:rPr>
                <w:color w:val="000000" w:themeColor="text1"/>
              </w:rPr>
            </w:pPr>
          </w:p>
          <w:p w14:paraId="562F6502" w14:textId="77777777" w:rsidR="002B1A6D" w:rsidRDefault="00000000">
            <w:pPr>
              <w:numPr>
                <w:ilvl w:val="0"/>
                <w:numId w:val="2"/>
              </w:numPr>
              <w:spacing w:after="120"/>
              <w:ind w:leftChars="-48" w:left="264"/>
              <w:contextualSpacing/>
              <w:rPr>
                <w:color w:val="000000" w:themeColor="text1"/>
              </w:rPr>
            </w:pPr>
            <w:r>
              <w:rPr>
                <w:color w:val="000000" w:themeColor="text1"/>
              </w:rPr>
              <w:t xml:space="preserve">Physical Layer structure for 6GR, </w:t>
            </w:r>
          </w:p>
          <w:p w14:paraId="7342EE31" w14:textId="77777777" w:rsidR="002B1A6D" w:rsidRDefault="00000000">
            <w:pPr>
              <w:numPr>
                <w:ilvl w:val="1"/>
                <w:numId w:val="3"/>
              </w:numPr>
              <w:spacing w:after="120"/>
              <w:ind w:leftChars="313" w:left="986"/>
              <w:contextualSpacing/>
              <w:rPr>
                <w:color w:val="000000" w:themeColor="text1"/>
              </w:rPr>
            </w:pPr>
            <w:r>
              <w:rPr>
                <w:color w:val="000000" w:themeColor="text1"/>
                <w:lang w:eastAsia="zh-CN"/>
              </w:rPr>
              <w:t>…</w:t>
            </w:r>
          </w:p>
          <w:p w14:paraId="69B8C04A" w14:textId="77777777" w:rsidR="002B1A6D" w:rsidRDefault="00000000">
            <w:pPr>
              <w:numPr>
                <w:ilvl w:val="1"/>
                <w:numId w:val="3"/>
              </w:numPr>
              <w:spacing w:after="120"/>
              <w:ind w:leftChars="313" w:left="986"/>
              <w:contextualSpacing/>
              <w:rPr>
                <w:color w:val="000000" w:themeColor="text1"/>
              </w:rPr>
            </w:pPr>
            <w:r>
              <w:rPr>
                <w:color w:val="000000" w:themeColor="text1"/>
              </w:rPr>
              <w:t>Frame structure, including compatibility with 5G NR to allow for efficient 5G-6G Multi-RAT Spectrum Sharing (MRSS). [RAN1]</w:t>
            </w:r>
          </w:p>
          <w:p w14:paraId="6FB5C5B3" w14:textId="77777777" w:rsidR="002B1A6D" w:rsidRDefault="00000000">
            <w:pPr>
              <w:spacing w:after="120"/>
              <w:ind w:left="986"/>
              <w:contextualSpacing/>
              <w:rPr>
                <w:color w:val="000000" w:themeColor="text1"/>
                <w:lang w:eastAsia="zh-CN"/>
              </w:rPr>
            </w:pPr>
            <w:r>
              <w:rPr>
                <w:color w:val="000000" w:themeColor="text1"/>
                <w:lang w:eastAsia="zh-CN"/>
              </w:rPr>
              <w:t>…</w:t>
            </w:r>
          </w:p>
        </w:tc>
      </w:tr>
    </w:tbl>
    <w:p w14:paraId="42FFB4AA" w14:textId="77777777" w:rsidR="002B1A6D" w:rsidRDefault="002B1A6D">
      <w:pPr>
        <w:pStyle w:val="a6"/>
        <w:jc w:val="both"/>
        <w:rPr>
          <w:color w:val="000000" w:themeColor="text1"/>
          <w:lang w:eastAsia="zh-CN"/>
        </w:rPr>
      </w:pPr>
    </w:p>
    <w:p w14:paraId="66C2AFBA" w14:textId="77777777" w:rsidR="002B1A6D" w:rsidRDefault="00000000">
      <w:pPr>
        <w:pStyle w:val="a6"/>
        <w:jc w:val="both"/>
        <w:rPr>
          <w:color w:val="000000" w:themeColor="text1"/>
          <w:lang w:val="en-US" w:eastAsia="zh-CN"/>
        </w:rPr>
      </w:pPr>
      <w:r>
        <w:rPr>
          <w:rFonts w:hint="eastAsia"/>
          <w:color w:val="000000" w:themeColor="text1"/>
          <w:lang w:eastAsia="zh-CN"/>
        </w:rPr>
        <w:t>In this contribution, we discuss the frame structure related issues.</w:t>
      </w:r>
    </w:p>
    <w:bookmarkEnd w:id="0"/>
    <w:bookmarkEnd w:id="1"/>
    <w:p w14:paraId="55DC67D5" w14:textId="77777777" w:rsidR="002B1A6D" w:rsidRDefault="00000000">
      <w:pPr>
        <w:pStyle w:val="1"/>
        <w:rPr>
          <w:rFonts w:eastAsiaTheme="minorEastAsia"/>
          <w:lang w:eastAsia="zh-CN"/>
        </w:rPr>
      </w:pPr>
      <w:r>
        <w:rPr>
          <w:rFonts w:eastAsiaTheme="minorEastAsia" w:hint="eastAsia"/>
          <w:lang w:eastAsia="zh-CN"/>
        </w:rPr>
        <w:t xml:space="preserve">Discussion on </w:t>
      </w:r>
      <w:r>
        <w:rPr>
          <w:rFonts w:eastAsiaTheme="minorEastAsia"/>
          <w:lang w:eastAsia="zh-CN"/>
        </w:rPr>
        <w:t>frame structure</w:t>
      </w:r>
    </w:p>
    <w:p w14:paraId="03883A7D" w14:textId="77777777" w:rsidR="002B1A6D" w:rsidRDefault="00000000">
      <w:pPr>
        <w:pStyle w:val="2"/>
        <w:rPr>
          <w:rFonts w:eastAsiaTheme="minorEastAsia" w:cs="Arial"/>
          <w:lang w:eastAsia="zh-CN"/>
        </w:rPr>
      </w:pPr>
      <w:r>
        <w:rPr>
          <w:rFonts w:eastAsia="宋体" w:hint="eastAsia"/>
          <w:lang w:val="en-US" w:eastAsia="zh-CN"/>
        </w:rPr>
        <w:t>N</w:t>
      </w:r>
      <w:r>
        <w:t>umerologies</w:t>
      </w:r>
    </w:p>
    <w:p w14:paraId="1C38744D" w14:textId="77777777" w:rsidR="002B1A6D" w:rsidRDefault="00000000">
      <w:pPr>
        <w:jc w:val="both"/>
        <w:rPr>
          <w:lang w:eastAsia="zh-CN"/>
        </w:rPr>
      </w:pPr>
      <w:r>
        <w:rPr>
          <w:rFonts w:hint="eastAsia"/>
          <w:lang w:eastAsia="zh-CN"/>
        </w:rPr>
        <w:t>For numerologies, it was discussed and agreed that 6G will reuse at least some of the SCS from 5G, and certain recommendations were provided for the SCS of each frequency band in RAN1 #122 [2].</w:t>
      </w:r>
    </w:p>
    <w:tbl>
      <w:tblPr>
        <w:tblStyle w:val="ac"/>
        <w:tblW w:w="0" w:type="auto"/>
        <w:tblLook w:val="04A0" w:firstRow="1" w:lastRow="0" w:firstColumn="1" w:lastColumn="0" w:noHBand="0" w:noVBand="1"/>
      </w:tblPr>
      <w:tblGrid>
        <w:gridCol w:w="9629"/>
      </w:tblGrid>
      <w:tr w:rsidR="002B1A6D" w14:paraId="5770B594" w14:textId="77777777">
        <w:tc>
          <w:tcPr>
            <w:tcW w:w="9629" w:type="dxa"/>
          </w:tcPr>
          <w:p w14:paraId="3CD26BDD" w14:textId="77777777" w:rsidR="002B1A6D" w:rsidRDefault="00000000">
            <w:pPr>
              <w:jc w:val="both"/>
              <w:rPr>
                <w:rFonts w:eastAsia="Malgun Gothic"/>
                <w:b/>
                <w:highlight w:val="green"/>
                <w:lang w:eastAsia="zh-CN"/>
              </w:rPr>
            </w:pPr>
            <w:r>
              <w:rPr>
                <w:rFonts w:eastAsia="Malgun Gothic"/>
                <w:b/>
                <w:highlight w:val="green"/>
                <w:lang w:eastAsia="zh-CN"/>
              </w:rPr>
              <w:t>Agreement</w:t>
            </w:r>
          </w:p>
          <w:p w14:paraId="6F80D878" w14:textId="77777777" w:rsidR="002B1A6D" w:rsidRDefault="00000000">
            <w:pPr>
              <w:pStyle w:val="af"/>
              <w:numPr>
                <w:ilvl w:val="0"/>
                <w:numId w:val="4"/>
              </w:numPr>
              <w:spacing w:after="0"/>
              <w:ind w:firstLine="400"/>
              <w:rPr>
                <w:rFonts w:ascii="Times" w:eastAsia="等线" w:hAnsi="Times"/>
                <w:lang w:val="en-GB" w:eastAsia="zh-CN"/>
              </w:rPr>
            </w:pPr>
            <w:r>
              <w:rPr>
                <w:rFonts w:eastAsia="等线" w:hint="eastAsia"/>
              </w:rPr>
              <w:t>6</w:t>
            </w:r>
            <w:r>
              <w:rPr>
                <w:rFonts w:ascii="Times" w:eastAsia="等线" w:hAnsi="Times" w:hint="eastAsia"/>
                <w:lang w:val="en-GB" w:eastAsia="zh-CN"/>
              </w:rPr>
              <w:t xml:space="preserve">GR takes the following SCS as start point for discussion for all the signals/channels except PRACH. </w:t>
            </w:r>
          </w:p>
          <w:p w14:paraId="3CFD75F8" w14:textId="77777777" w:rsidR="002B1A6D" w:rsidRDefault="00000000">
            <w:pPr>
              <w:pStyle w:val="af"/>
              <w:numPr>
                <w:ilvl w:val="1"/>
                <w:numId w:val="4"/>
              </w:numPr>
              <w:spacing w:after="0"/>
              <w:ind w:firstLine="400"/>
              <w:rPr>
                <w:rFonts w:eastAsia="等线"/>
              </w:rPr>
            </w:pPr>
            <w:r>
              <w:rPr>
                <w:rFonts w:eastAsia="等线" w:hint="eastAsia"/>
              </w:rPr>
              <w:t>For sub 6GHz</w:t>
            </w:r>
          </w:p>
          <w:p w14:paraId="62A38707" w14:textId="77777777" w:rsidR="002B1A6D" w:rsidRDefault="00000000">
            <w:pPr>
              <w:pStyle w:val="af"/>
              <w:numPr>
                <w:ilvl w:val="2"/>
                <w:numId w:val="4"/>
              </w:numPr>
              <w:spacing w:after="0"/>
              <w:ind w:firstLine="400"/>
              <w:rPr>
                <w:rFonts w:eastAsia="等线"/>
              </w:rPr>
            </w:pPr>
            <w:r>
              <w:rPr>
                <w:rFonts w:eastAsia="等线" w:hint="eastAsia"/>
              </w:rPr>
              <w:t>The following subcarrier spacing is at least supported</w:t>
            </w:r>
          </w:p>
          <w:p w14:paraId="368012E0" w14:textId="77777777" w:rsidR="002B1A6D" w:rsidRDefault="00000000">
            <w:pPr>
              <w:pStyle w:val="af"/>
              <w:numPr>
                <w:ilvl w:val="3"/>
                <w:numId w:val="4"/>
              </w:numPr>
              <w:spacing w:after="0"/>
              <w:ind w:firstLine="400"/>
              <w:rPr>
                <w:rFonts w:eastAsia="等线"/>
              </w:rPr>
            </w:pPr>
            <w:r>
              <w:rPr>
                <w:rFonts w:eastAsia="等线" w:hint="eastAsia"/>
              </w:rPr>
              <w:t>15kHz SCS for FDD, 30kHz SCS for TDD</w:t>
            </w:r>
          </w:p>
          <w:p w14:paraId="6A60F476" w14:textId="77777777" w:rsidR="002B1A6D" w:rsidRDefault="00000000">
            <w:pPr>
              <w:pStyle w:val="af"/>
              <w:numPr>
                <w:ilvl w:val="2"/>
                <w:numId w:val="4"/>
              </w:numPr>
              <w:spacing w:after="0"/>
              <w:ind w:firstLine="400"/>
              <w:rPr>
                <w:rFonts w:eastAsia="等线"/>
              </w:rPr>
            </w:pPr>
            <w:r>
              <w:rPr>
                <w:rFonts w:eastAsia="等线" w:hint="eastAsia"/>
              </w:rPr>
              <w:t>FFS: 30kHz SCS for FDD for around e.g., 1-2.5GHz</w:t>
            </w:r>
          </w:p>
          <w:p w14:paraId="248F51F3" w14:textId="77777777" w:rsidR="002B1A6D" w:rsidRDefault="00000000">
            <w:pPr>
              <w:pStyle w:val="af"/>
              <w:numPr>
                <w:ilvl w:val="2"/>
                <w:numId w:val="4"/>
              </w:numPr>
              <w:spacing w:after="0"/>
              <w:ind w:firstLine="400"/>
              <w:rPr>
                <w:rFonts w:eastAsia="等线"/>
              </w:rPr>
            </w:pPr>
            <w:r>
              <w:rPr>
                <w:rFonts w:eastAsia="等线" w:hint="eastAsia"/>
              </w:rPr>
              <w:t>FFS: 7.5kHz SCS for sub1GHz (FDD)</w:t>
            </w:r>
          </w:p>
          <w:p w14:paraId="29478D27" w14:textId="77777777" w:rsidR="002B1A6D" w:rsidRDefault="00000000">
            <w:pPr>
              <w:pStyle w:val="af"/>
              <w:numPr>
                <w:ilvl w:val="2"/>
                <w:numId w:val="4"/>
              </w:numPr>
              <w:spacing w:after="0"/>
              <w:ind w:firstLine="400"/>
              <w:rPr>
                <w:rFonts w:eastAsia="等线"/>
              </w:rPr>
            </w:pPr>
            <w:r>
              <w:rPr>
                <w:rFonts w:eastAsia="等线" w:hint="eastAsia"/>
              </w:rPr>
              <w:t>Whether to discuss the FFS will be subject to RANP decision.</w:t>
            </w:r>
          </w:p>
          <w:p w14:paraId="38FEDBA6" w14:textId="77777777" w:rsidR="002B1A6D" w:rsidRDefault="00000000">
            <w:pPr>
              <w:pStyle w:val="af"/>
              <w:numPr>
                <w:ilvl w:val="1"/>
                <w:numId w:val="4"/>
              </w:numPr>
              <w:spacing w:after="0"/>
              <w:ind w:firstLine="400"/>
              <w:rPr>
                <w:rFonts w:eastAsia="等线"/>
              </w:rPr>
            </w:pPr>
            <w:r>
              <w:rPr>
                <w:rFonts w:eastAsia="等线" w:hint="eastAsia"/>
              </w:rPr>
              <w:t>For around 7GHz</w:t>
            </w:r>
          </w:p>
          <w:p w14:paraId="243D37EA" w14:textId="77777777" w:rsidR="002B1A6D" w:rsidRDefault="00000000">
            <w:pPr>
              <w:pStyle w:val="af"/>
              <w:numPr>
                <w:ilvl w:val="2"/>
                <w:numId w:val="4"/>
              </w:numPr>
              <w:spacing w:after="0"/>
              <w:ind w:firstLine="400"/>
              <w:rPr>
                <w:rFonts w:eastAsia="等线"/>
              </w:rPr>
            </w:pPr>
            <w:r>
              <w:rPr>
                <w:rFonts w:eastAsia="等线" w:hint="eastAsia"/>
              </w:rPr>
              <w:t>The following subcarrier spacing options can be studied</w:t>
            </w:r>
          </w:p>
          <w:p w14:paraId="5B96BFDB" w14:textId="77777777" w:rsidR="002B1A6D" w:rsidRDefault="00000000">
            <w:pPr>
              <w:pStyle w:val="af"/>
              <w:numPr>
                <w:ilvl w:val="3"/>
                <w:numId w:val="4"/>
              </w:numPr>
              <w:spacing w:after="0"/>
              <w:ind w:firstLine="400"/>
              <w:rPr>
                <w:rFonts w:eastAsia="等线"/>
              </w:rPr>
            </w:pPr>
            <w:r>
              <w:rPr>
                <w:rFonts w:eastAsia="等线" w:hint="eastAsia"/>
              </w:rPr>
              <w:t>30kHz, 60kHz</w:t>
            </w:r>
          </w:p>
          <w:p w14:paraId="414B2913" w14:textId="77777777" w:rsidR="002B1A6D" w:rsidRDefault="00000000">
            <w:pPr>
              <w:pStyle w:val="af"/>
              <w:numPr>
                <w:ilvl w:val="1"/>
                <w:numId w:val="4"/>
              </w:numPr>
              <w:spacing w:after="0"/>
              <w:ind w:firstLine="400"/>
              <w:rPr>
                <w:rFonts w:eastAsia="等线"/>
              </w:rPr>
            </w:pPr>
            <w:r>
              <w:rPr>
                <w:rFonts w:eastAsia="等线" w:hint="eastAsia"/>
              </w:rPr>
              <w:lastRenderedPageBreak/>
              <w:t>FFS: For around 15GHz</w:t>
            </w:r>
          </w:p>
          <w:p w14:paraId="7B7382AF" w14:textId="77777777" w:rsidR="002B1A6D" w:rsidRDefault="00000000">
            <w:pPr>
              <w:pStyle w:val="af"/>
              <w:numPr>
                <w:ilvl w:val="2"/>
                <w:numId w:val="4"/>
              </w:numPr>
              <w:spacing w:after="0"/>
              <w:ind w:firstLine="400"/>
              <w:rPr>
                <w:rFonts w:eastAsia="等线"/>
              </w:rPr>
            </w:pPr>
            <w:r>
              <w:rPr>
                <w:rFonts w:eastAsia="等线" w:hint="eastAsia"/>
              </w:rPr>
              <w:t>The following subcarrier spacing options can be studied</w:t>
            </w:r>
          </w:p>
          <w:p w14:paraId="19696A0A" w14:textId="77777777" w:rsidR="002B1A6D" w:rsidRDefault="00000000">
            <w:pPr>
              <w:pStyle w:val="af"/>
              <w:numPr>
                <w:ilvl w:val="3"/>
                <w:numId w:val="4"/>
              </w:numPr>
              <w:spacing w:after="0"/>
              <w:ind w:firstLine="400"/>
              <w:rPr>
                <w:rFonts w:eastAsia="等线"/>
              </w:rPr>
            </w:pPr>
            <w:r>
              <w:rPr>
                <w:rFonts w:eastAsia="等线" w:hint="eastAsia"/>
              </w:rPr>
              <w:t xml:space="preserve">30kHz, 60kHz, 120kHz </w:t>
            </w:r>
          </w:p>
          <w:p w14:paraId="7C15BBD9" w14:textId="77777777" w:rsidR="002B1A6D" w:rsidRDefault="00000000">
            <w:pPr>
              <w:pStyle w:val="af"/>
              <w:numPr>
                <w:ilvl w:val="2"/>
                <w:numId w:val="4"/>
              </w:numPr>
              <w:spacing w:after="0"/>
              <w:ind w:firstLine="400"/>
              <w:rPr>
                <w:rFonts w:eastAsia="等线"/>
              </w:rPr>
            </w:pPr>
            <w:r>
              <w:rPr>
                <w:rFonts w:eastAsia="等线" w:hint="eastAsia"/>
              </w:rPr>
              <w:t>Whether to discuss it will be subject to RANP decision</w:t>
            </w:r>
          </w:p>
          <w:p w14:paraId="68D47934" w14:textId="77777777" w:rsidR="002B1A6D" w:rsidRDefault="00000000">
            <w:pPr>
              <w:pStyle w:val="af"/>
              <w:numPr>
                <w:ilvl w:val="1"/>
                <w:numId w:val="4"/>
              </w:numPr>
              <w:spacing w:after="0"/>
              <w:ind w:firstLine="400"/>
              <w:rPr>
                <w:rFonts w:eastAsia="等线"/>
              </w:rPr>
            </w:pPr>
            <w:r>
              <w:rPr>
                <w:rFonts w:eastAsia="等线" w:hint="eastAsia"/>
              </w:rPr>
              <w:t>For between 24.25GHz - 52.6GHz</w:t>
            </w:r>
          </w:p>
          <w:p w14:paraId="3A3AA605" w14:textId="77777777" w:rsidR="002B1A6D" w:rsidRDefault="00000000">
            <w:pPr>
              <w:pStyle w:val="af"/>
              <w:numPr>
                <w:ilvl w:val="2"/>
                <w:numId w:val="4"/>
              </w:numPr>
              <w:spacing w:after="0"/>
              <w:ind w:firstLine="400"/>
              <w:rPr>
                <w:rFonts w:eastAsia="等线"/>
              </w:rPr>
            </w:pPr>
            <w:r>
              <w:rPr>
                <w:rFonts w:eastAsia="等线"/>
              </w:rPr>
              <w:t>S</w:t>
            </w:r>
            <w:r>
              <w:rPr>
                <w:rFonts w:eastAsia="等线" w:hint="eastAsia"/>
              </w:rPr>
              <w:t>ubcarrier spacing 120kHz is supported</w:t>
            </w:r>
          </w:p>
          <w:p w14:paraId="76FFD765" w14:textId="77777777" w:rsidR="002B1A6D" w:rsidRDefault="00000000">
            <w:pPr>
              <w:pStyle w:val="af"/>
              <w:numPr>
                <w:ilvl w:val="1"/>
                <w:numId w:val="4"/>
              </w:numPr>
              <w:spacing w:after="0"/>
              <w:ind w:firstLine="400"/>
              <w:rPr>
                <w:rFonts w:eastAsia="等线"/>
              </w:rPr>
            </w:pPr>
            <w:r>
              <w:rPr>
                <w:rFonts w:eastAsia="等线" w:hint="eastAsia"/>
              </w:rPr>
              <w:t xml:space="preserve">FFS </w:t>
            </w:r>
            <w:r>
              <w:rPr>
                <w:rFonts w:eastAsia="等线"/>
              </w:rPr>
              <w:t>whether</w:t>
            </w:r>
            <w:r>
              <w:rPr>
                <w:rFonts w:eastAsia="等线" w:hint="eastAsia"/>
              </w:rPr>
              <w:t xml:space="preserve"> to allow using additional subcarrier spacing for SSB</w:t>
            </w:r>
          </w:p>
          <w:p w14:paraId="4FF725C4" w14:textId="77777777" w:rsidR="002B1A6D" w:rsidRDefault="00000000">
            <w:pPr>
              <w:pStyle w:val="af"/>
              <w:numPr>
                <w:ilvl w:val="0"/>
                <w:numId w:val="4"/>
              </w:numPr>
              <w:spacing w:after="0"/>
              <w:ind w:firstLine="400"/>
              <w:rPr>
                <w:rFonts w:eastAsia="Malgun Gothic"/>
              </w:rPr>
            </w:pPr>
            <w:r>
              <w:rPr>
                <w:rFonts w:eastAsia="等线" w:hint="eastAsia"/>
              </w:rPr>
              <w:t xml:space="preserve">FFS subcarrier spacing for </w:t>
            </w:r>
            <w:r>
              <w:rPr>
                <w:rFonts w:eastAsia="等线"/>
              </w:rPr>
              <w:t>PRACH</w:t>
            </w:r>
            <w:r>
              <w:rPr>
                <w:rFonts w:eastAsia="等线" w:hint="eastAsia"/>
              </w:rPr>
              <w:t xml:space="preserve"> and up to initial access discussion.</w:t>
            </w:r>
          </w:p>
        </w:tc>
      </w:tr>
    </w:tbl>
    <w:p w14:paraId="19F2E5C1" w14:textId="77777777" w:rsidR="002B1A6D" w:rsidRDefault="00000000">
      <w:pPr>
        <w:spacing w:beforeLines="50" w:before="156"/>
        <w:jc w:val="both"/>
        <w:rPr>
          <w:lang w:eastAsia="zh-CN"/>
        </w:rPr>
      </w:pPr>
      <w:r>
        <w:rPr>
          <w:rFonts w:hint="eastAsia"/>
          <w:lang w:eastAsia="zh-CN"/>
        </w:rPr>
        <w:lastRenderedPageBreak/>
        <w:t>Currently, in 5G NR, FR1 (sub-6 GHz) supports SCS of 15 kHz, 30 kHz, or 60 kHz. In practical deployments, 15 kHz SCS is widely used for FDD, while 30 kHz SCS is predominantly adopted for TDD. Based on our observations, there is no actual deployment for 60 kHz SCS. Therefore, 6GR can reuse NR SCS in FR1 sub-6 GHz spectrum, maintaining a single SCS for a given band with specific duplex mode, i.e., 15 kHz for FR1 FDD and 30 kHz for FR1 TDD. In FR2-1 (24.25</w:t>
      </w:r>
      <w:r>
        <w:rPr>
          <w:rFonts w:hint="eastAsia"/>
          <w:lang w:eastAsia="zh-CN"/>
        </w:rPr>
        <w:t>–</w:t>
      </w:r>
      <w:r>
        <w:rPr>
          <w:rFonts w:hint="eastAsia"/>
          <w:lang w:eastAsia="zh-CN"/>
        </w:rPr>
        <w:t>52.6 GHz), NR currently supports SCS of 60 kHz, 120 kHz, or 240 kHz, where 240 kHz is used only for SSB, and 60 kHz is not utilized for synchronization signals. To simplify specifications and reduce UE/network complexity, it is preferred to use the same SCS for both SSB and data transmission. Thus, 6GR may adopt 120 kHz SCS in FR2-1.</w:t>
      </w:r>
    </w:p>
    <w:p w14:paraId="1664E1AD" w14:textId="77777777" w:rsidR="002B1A6D" w:rsidRDefault="00000000">
      <w:pPr>
        <w:jc w:val="both"/>
        <w:rPr>
          <w:lang w:eastAsia="zh-CN"/>
        </w:rPr>
      </w:pPr>
      <w:r>
        <w:rPr>
          <w:rFonts w:hint="eastAsia"/>
          <w:lang w:eastAsia="zh-CN"/>
        </w:rPr>
        <w:t>For new 6GR bands (6-7 GHz and 7-8 GHz), further analysis is needed to compare the performance and complexity of 30 kHz versus 60 kHz. A smaller SCS can better cope with inter-symbol interference caused by delay spread. 30 kHz SCS offers longer CP, which performs better in medium-to-high delay spread scenarios and is sufficiently adaptive to low Doppler spread conditions. Moreover, Coverage will be a key challenge above 6 GHz due to higher propagation loss. The longer symbol duration of 30 kHz SCS is more beneficial for coverage than 60 kHz SCS, making it the preferred choice.</w:t>
      </w:r>
    </w:p>
    <w:p w14:paraId="3732650B" w14:textId="77777777" w:rsidR="002B1A6D" w:rsidRDefault="00000000">
      <w:pPr>
        <w:spacing w:after="100"/>
        <w:jc w:val="both"/>
        <w:rPr>
          <w:b/>
          <w:bCs/>
          <w:i/>
          <w:iCs/>
          <w:lang w:eastAsia="zh-CN"/>
        </w:rPr>
      </w:pPr>
      <w:r>
        <w:rPr>
          <w:rFonts w:hint="eastAsia"/>
          <w:b/>
          <w:bCs/>
          <w:i/>
          <w:iCs/>
          <w:lang w:eastAsia="zh-CN"/>
        </w:rPr>
        <w:t>Proposal 1: For 6G numerologies,</w:t>
      </w:r>
    </w:p>
    <w:p w14:paraId="235B1D81" w14:textId="77777777" w:rsidR="002B1A6D" w:rsidRDefault="00000000">
      <w:pPr>
        <w:numPr>
          <w:ilvl w:val="0"/>
          <w:numId w:val="5"/>
        </w:numPr>
        <w:overflowPunct/>
        <w:autoSpaceDE/>
        <w:autoSpaceDN/>
        <w:adjustRightInd/>
        <w:snapToGrid w:val="0"/>
        <w:spacing w:after="0" w:line="360" w:lineRule="auto"/>
        <w:ind w:left="726" w:hanging="363"/>
        <w:textAlignment w:val="auto"/>
        <w:rPr>
          <w:rFonts w:eastAsia="Malgun Gothic" w:cs="Times"/>
          <w:b/>
          <w:i/>
          <w:iCs/>
          <w:lang w:eastAsia="zh-CN"/>
        </w:rPr>
      </w:pPr>
      <w:r>
        <w:rPr>
          <w:rFonts w:eastAsia="Malgun Gothic" w:cs="Times" w:hint="eastAsia"/>
          <w:b/>
          <w:i/>
          <w:iCs/>
          <w:lang w:eastAsia="zh-CN"/>
        </w:rPr>
        <w:t>6GR can reuse 5G NR SCS (SCS =</w:t>
      </w:r>
      <w:r>
        <w:rPr>
          <w:rFonts w:eastAsia="Malgun Gothic"/>
          <w:b/>
          <w:i/>
          <w:iCs/>
          <w:lang w:eastAsia="zh-CN"/>
        </w:rPr>
        <w:t xml:space="preserve"> 15×2ⁿ</w:t>
      </w:r>
      <w:r>
        <w:rPr>
          <w:rFonts w:eastAsia="Malgun Gothic" w:cs="Times" w:hint="eastAsia"/>
          <w:b/>
          <w:i/>
          <w:iCs/>
          <w:lang w:eastAsia="zh-CN"/>
        </w:rPr>
        <w:t xml:space="preserve"> kHz) as a starting point.</w:t>
      </w:r>
    </w:p>
    <w:p w14:paraId="7987B4C7" w14:textId="77777777" w:rsidR="002B1A6D" w:rsidRDefault="00000000">
      <w:pPr>
        <w:numPr>
          <w:ilvl w:val="0"/>
          <w:numId w:val="5"/>
        </w:numPr>
        <w:overflowPunct/>
        <w:autoSpaceDE/>
        <w:autoSpaceDN/>
        <w:adjustRightInd/>
        <w:snapToGrid w:val="0"/>
        <w:spacing w:after="0" w:line="360" w:lineRule="auto"/>
        <w:ind w:left="726" w:hanging="363"/>
        <w:textAlignment w:val="auto"/>
        <w:rPr>
          <w:rFonts w:eastAsia="Malgun Gothic" w:cs="Times"/>
          <w:b/>
          <w:i/>
          <w:iCs/>
          <w:lang w:eastAsia="zh-CN"/>
        </w:rPr>
      </w:pPr>
      <w:r>
        <w:rPr>
          <w:rFonts w:eastAsia="Malgun Gothic" w:cs="Times" w:hint="eastAsia"/>
          <w:b/>
          <w:i/>
          <w:iCs/>
          <w:lang w:eastAsia="zh-CN"/>
        </w:rPr>
        <w:t>Support a single numerology for each band for 6G:</w:t>
      </w:r>
    </w:p>
    <w:p w14:paraId="662F2B1B" w14:textId="77777777" w:rsidR="002B1A6D" w:rsidRDefault="00000000">
      <w:pPr>
        <w:overflowPunct/>
        <w:autoSpaceDE/>
        <w:autoSpaceDN/>
        <w:adjustRightInd/>
        <w:snapToGrid w:val="0"/>
        <w:spacing w:after="0"/>
        <w:ind w:left="363" w:firstLine="416"/>
        <w:textAlignment w:val="auto"/>
        <w:rPr>
          <w:rFonts w:eastAsia="Malgun Gothic" w:cs="Times"/>
          <w:b/>
          <w:i/>
          <w:iCs/>
          <w:lang w:eastAsia="zh-CN"/>
        </w:rPr>
      </w:pPr>
      <w:r>
        <w:rPr>
          <w:rFonts w:eastAsia="Malgun Gothic" w:cs="Times" w:hint="eastAsia"/>
          <w:b/>
          <w:i/>
          <w:iCs/>
          <w:lang w:eastAsia="zh-CN"/>
        </w:rPr>
        <w:t>For sub-6 GHz: 15 kHz SCS for FDD, 30 kHz SCS for TDD;</w:t>
      </w:r>
    </w:p>
    <w:p w14:paraId="3A958B8B" w14:textId="77777777" w:rsidR="002B1A6D" w:rsidRDefault="00000000">
      <w:pPr>
        <w:spacing w:after="0"/>
        <w:ind w:firstLineChars="400" w:firstLine="803"/>
        <w:jc w:val="both"/>
        <w:rPr>
          <w:b/>
          <w:bCs/>
          <w:i/>
          <w:iCs/>
          <w:lang w:eastAsia="zh-CN"/>
        </w:rPr>
      </w:pPr>
      <w:r>
        <w:rPr>
          <w:rFonts w:hint="eastAsia"/>
          <w:b/>
          <w:bCs/>
          <w:i/>
          <w:iCs/>
          <w:lang w:eastAsia="zh-CN"/>
        </w:rPr>
        <w:t>For around 7 GHz: 30 kHz SCS is recommended, while 60 kHz SCS requires further evaluation</w:t>
      </w:r>
    </w:p>
    <w:p w14:paraId="16171A15" w14:textId="77777777" w:rsidR="002B1A6D" w:rsidRDefault="00000000">
      <w:pPr>
        <w:ind w:firstLineChars="400" w:firstLine="803"/>
        <w:jc w:val="both"/>
        <w:rPr>
          <w:b/>
          <w:bCs/>
          <w:i/>
          <w:iCs/>
          <w:lang w:eastAsia="zh-CN"/>
        </w:rPr>
      </w:pPr>
      <w:r>
        <w:rPr>
          <w:rFonts w:hint="eastAsia"/>
          <w:b/>
          <w:bCs/>
          <w:i/>
          <w:iCs/>
          <w:lang w:eastAsia="zh-CN"/>
        </w:rPr>
        <w:t>For FR2-1: 120 kHz SCS is supported.</w:t>
      </w:r>
    </w:p>
    <w:p w14:paraId="0F504F27" w14:textId="77777777" w:rsidR="002B1A6D" w:rsidRDefault="00000000">
      <w:pPr>
        <w:pStyle w:val="2"/>
        <w:rPr>
          <w:lang w:eastAsia="zh-CN"/>
        </w:rPr>
      </w:pPr>
      <w:r>
        <w:rPr>
          <w:rFonts w:eastAsia="宋体" w:hint="eastAsia"/>
          <w:lang w:val="en-US" w:eastAsia="zh-CN"/>
        </w:rPr>
        <w:t>Cyclic prefix</w:t>
      </w:r>
    </w:p>
    <w:p w14:paraId="16F95580" w14:textId="77777777" w:rsidR="002B1A6D" w:rsidRDefault="00000000">
      <w:pPr>
        <w:jc w:val="both"/>
        <w:rPr>
          <w:lang w:eastAsia="zh-CN"/>
        </w:rPr>
      </w:pPr>
      <w:r>
        <w:rPr>
          <w:rFonts w:hint="eastAsia"/>
          <w:lang w:eastAsia="zh-CN"/>
        </w:rPr>
        <w:t>For CP, it was discussed and agreed that 6G will reuse normal cyclic prefix in RAN1 #122 [2].</w:t>
      </w:r>
    </w:p>
    <w:tbl>
      <w:tblPr>
        <w:tblStyle w:val="ac"/>
        <w:tblW w:w="0" w:type="auto"/>
        <w:tblLook w:val="04A0" w:firstRow="1" w:lastRow="0" w:firstColumn="1" w:lastColumn="0" w:noHBand="0" w:noVBand="1"/>
      </w:tblPr>
      <w:tblGrid>
        <w:gridCol w:w="9629"/>
      </w:tblGrid>
      <w:tr w:rsidR="002B1A6D" w14:paraId="2ECB2DB1" w14:textId="77777777">
        <w:tc>
          <w:tcPr>
            <w:tcW w:w="9629" w:type="dxa"/>
          </w:tcPr>
          <w:p w14:paraId="7651CA2A" w14:textId="77777777" w:rsidR="002B1A6D" w:rsidRDefault="00000000">
            <w:pPr>
              <w:jc w:val="both"/>
              <w:rPr>
                <w:rFonts w:eastAsiaTheme="minorEastAsia"/>
                <w:b/>
                <w:highlight w:val="green"/>
                <w:lang w:eastAsia="zh-CN"/>
              </w:rPr>
            </w:pPr>
            <w:r>
              <w:rPr>
                <w:rFonts w:eastAsia="Malgun Gothic"/>
                <w:b/>
                <w:highlight w:val="green"/>
                <w:lang w:eastAsia="zh-CN"/>
              </w:rPr>
              <w:t>Agreement</w:t>
            </w:r>
          </w:p>
          <w:p w14:paraId="3AC5B614" w14:textId="77777777" w:rsidR="002B1A6D" w:rsidRDefault="00000000">
            <w:pPr>
              <w:pStyle w:val="af"/>
              <w:numPr>
                <w:ilvl w:val="0"/>
                <w:numId w:val="4"/>
              </w:numPr>
              <w:spacing w:after="0"/>
              <w:ind w:firstLine="400"/>
              <w:rPr>
                <w:rFonts w:ascii="Times" w:eastAsia="等线" w:hAnsi="Times"/>
                <w:lang w:val="en-GB" w:eastAsia="zh-CN"/>
              </w:rPr>
            </w:pPr>
            <w:r>
              <w:rPr>
                <w:rFonts w:ascii="Times" w:eastAsia="等线" w:hAnsi="Times" w:hint="eastAsia"/>
                <w:lang w:val="en-GB" w:eastAsia="zh-CN"/>
              </w:rPr>
              <w:t>6GR supports normal cyclic prefix, i.e., same as the normal CP defined in NR.</w:t>
            </w:r>
          </w:p>
          <w:p w14:paraId="4DE6EAD1" w14:textId="77777777" w:rsidR="002B1A6D" w:rsidRDefault="00000000">
            <w:pPr>
              <w:pStyle w:val="af"/>
              <w:numPr>
                <w:ilvl w:val="1"/>
                <w:numId w:val="4"/>
              </w:numPr>
              <w:spacing w:after="0"/>
              <w:ind w:firstLine="400"/>
              <w:rPr>
                <w:rFonts w:eastAsia="Malgun Gothic"/>
              </w:rPr>
            </w:pPr>
            <w:r>
              <w:rPr>
                <w:rFonts w:eastAsia="等线" w:hint="eastAsia"/>
                <w:lang w:eastAsia="zh-CN"/>
              </w:rPr>
              <w:t>FFS p</w:t>
            </w:r>
            <w:r>
              <w:rPr>
                <w:rFonts w:eastAsia="等线" w:hint="eastAsia"/>
              </w:rPr>
              <w:t xml:space="preserve">otential </w:t>
            </w:r>
            <w:r>
              <w:rPr>
                <w:rFonts w:eastAsia="等线" w:hint="eastAsia"/>
                <w:lang w:eastAsia="zh-CN"/>
              </w:rPr>
              <w:t>need for</w:t>
            </w:r>
            <w:r>
              <w:rPr>
                <w:rFonts w:eastAsia="等线" w:hint="eastAsia"/>
              </w:rPr>
              <w:t xml:space="preserve"> </w:t>
            </w:r>
            <w:r>
              <w:rPr>
                <w:rFonts w:eastAsia="等线" w:hint="eastAsia"/>
                <w:lang w:eastAsia="zh-CN"/>
              </w:rPr>
              <w:t xml:space="preserve">other </w:t>
            </w:r>
            <w:r>
              <w:rPr>
                <w:rFonts w:eastAsia="等线" w:hint="eastAsia"/>
              </w:rPr>
              <w:t>CP</w:t>
            </w:r>
          </w:p>
        </w:tc>
      </w:tr>
    </w:tbl>
    <w:p w14:paraId="43A4AA01" w14:textId="77777777" w:rsidR="002B1A6D" w:rsidRDefault="00000000">
      <w:pPr>
        <w:spacing w:beforeLines="50" w:before="156"/>
        <w:jc w:val="both"/>
        <w:rPr>
          <w:lang w:eastAsia="zh-CN"/>
        </w:rPr>
      </w:pPr>
      <w:r>
        <w:rPr>
          <w:rFonts w:hint="eastAsia"/>
          <w:lang w:eastAsia="zh-CN"/>
        </w:rPr>
        <w:t>5G NR supports two types of Cyclic Prefix (CP): Normal CP (NCP) and Extended CP (ECP), with the latter restricted to use with a 60 kHz SCS. However, ECP introduces significant overhead, e.g., increasing CP overhead from 6.7% with NCP to 20% at 60 kHz SCS, leading to a substantial reduction in system throughput. Consequently, ECP has not been adopted in commercial 5G deployments. During the NR study, it was demonstrated that ECP does not enhance cell coverage in scenarios involving eMBB, 60 kHz SCS, and large delay spreads (TDL-C-1000ns). Based on this experience and the 6G SID principle of "simplify system design", we propose using NCP as the baseline for all 6G communication channels and signals. This simplifies standardization and device implementation.</w:t>
      </w:r>
    </w:p>
    <w:p w14:paraId="1F1AC5E0" w14:textId="77777777" w:rsidR="002B1A6D" w:rsidRDefault="00000000">
      <w:pPr>
        <w:jc w:val="both"/>
        <w:rPr>
          <w:lang w:eastAsia="zh-CN"/>
        </w:rPr>
      </w:pPr>
      <w:r>
        <w:rPr>
          <w:rFonts w:hint="eastAsia"/>
          <w:lang w:eastAsia="zh-CN"/>
        </w:rPr>
        <w:lastRenderedPageBreak/>
        <w:t>In sensing scenarios, the CP length can limit sensing performance. For example, in monostatic sensing, for a target 500 meters away (round-trip delay ~3.33 µs), the delay of its reflection path already exceeds the CP length under a 30 kHz SCS. When the target echo's delay is longer than the CP length, it causes inter-symbol interference (ISI) and effective energy loss. These issues seriously reduce the accuracy of sensing measurements, such as delay and Doppler estimation. Therefore, to ensure sensing performance over long distances or in complex scenarios, the required CP length may be longer than what communication needs.</w:t>
      </w:r>
    </w:p>
    <w:p w14:paraId="6125F039" w14:textId="77777777" w:rsidR="002B1A6D" w:rsidRDefault="00000000">
      <w:pPr>
        <w:jc w:val="both"/>
        <w:rPr>
          <w:b/>
          <w:bCs/>
          <w:i/>
          <w:iCs/>
          <w:lang w:eastAsia="zh-CN"/>
        </w:rPr>
      </w:pPr>
      <w:r>
        <w:rPr>
          <w:rFonts w:hint="eastAsia"/>
          <w:b/>
          <w:bCs/>
          <w:i/>
          <w:iCs/>
          <w:lang w:eastAsia="zh-CN"/>
        </w:rPr>
        <w:t>Proposal 2: For communication channels and signals, 6GR considers supporting only the NCP and reusing the existing NCP length from NR.</w:t>
      </w:r>
    </w:p>
    <w:p w14:paraId="077DB059" w14:textId="77777777" w:rsidR="002B1A6D" w:rsidRDefault="00000000">
      <w:pPr>
        <w:pStyle w:val="2"/>
        <w:rPr>
          <w:lang w:val="en-US" w:eastAsia="zh-CN"/>
        </w:rPr>
      </w:pPr>
      <w:r>
        <w:rPr>
          <w:lang w:val="en-US" w:eastAsia="zh-CN"/>
        </w:rPr>
        <w:t>Maximum CBW</w:t>
      </w:r>
      <w:r>
        <w:rPr>
          <w:rFonts w:hint="eastAsia"/>
          <w:lang w:val="en-US" w:eastAsia="zh-CN"/>
        </w:rPr>
        <w:t xml:space="preserve"> and FFT size</w:t>
      </w:r>
    </w:p>
    <w:p w14:paraId="7BE3008C" w14:textId="77777777" w:rsidR="002B1A6D" w:rsidRDefault="00000000">
      <w:pPr>
        <w:spacing w:after="100"/>
        <w:jc w:val="both"/>
        <w:rPr>
          <w:lang w:eastAsia="zh-CN"/>
        </w:rPr>
      </w:pPr>
      <w:r>
        <w:rPr>
          <w:rFonts w:hint="eastAsia"/>
          <w:lang w:eastAsia="zh-CN"/>
        </w:rPr>
        <w:t>6G needs wider channel bandwidth (CBW) to meet its higher performance goals. 5G NR already significantly increased the maximum CBW from 20MHz in 4G to 100MHz. 6G is expected to leverage contiguous spectrum resources in new frequency bands (e.g., 7-24 GHz), further expanding the single-carrier bandwidth, which is key to achieving higher peak data rates and lower latency. Since 6G may use multiple bands from low-frequency to millimeter-wave, the CBW support strategy should be differentiated across bands. Additionally, to meet operators' needs for efficient single-carrier deployment, support for a 200MHz CBW should be considered.</w:t>
      </w:r>
    </w:p>
    <w:p w14:paraId="4E99003B" w14:textId="77777777" w:rsidR="002B1A6D" w:rsidRDefault="00000000">
      <w:pPr>
        <w:spacing w:after="100"/>
        <w:jc w:val="both"/>
        <w:rPr>
          <w:lang w:eastAsia="zh-CN"/>
        </w:rPr>
      </w:pPr>
      <w:r>
        <w:rPr>
          <w:rFonts w:hint="eastAsia"/>
          <w:lang w:eastAsia="zh-CN"/>
        </w:rPr>
        <w:t>For sub-6 GHz, we propose to increase the maximum FFT size from 4096 to 8192, which allows the support of 100MHz CBW with 15 kHz SCS (FDD) and 200MHz CBW with 30 kHz SCS (TDD). For around 7 GHz (e.g., 6.425-7.125 GHz), this region is a core candidate for 6G, offering abundant contiguous spectrum (e.g., 700MHz). Based on this, 6G should support at least a 200MHz channel bandwidth. However, to fully exploit spectral efficiency, we recommend considering support for a 400MHz single-carrier bandwidth. For FR2-1, this band is extremely rich in spectrum resources. We propose supporting at least 400MHz</w:t>
      </w:r>
      <w:r>
        <w:rPr>
          <w:rStyle w:val="ae"/>
          <w:rFonts w:hint="eastAsia"/>
          <w:lang w:eastAsia="zh-CN"/>
        </w:rPr>
        <w:t xml:space="preserve"> CBW</w:t>
      </w:r>
      <w:r>
        <w:rPr>
          <w:rFonts w:hint="eastAsia"/>
          <w:lang w:eastAsia="zh-CN"/>
        </w:rPr>
        <w:t>.</w:t>
      </w:r>
    </w:p>
    <w:p w14:paraId="5EAABD8F" w14:textId="77777777" w:rsidR="002B1A6D" w:rsidRDefault="00000000">
      <w:pPr>
        <w:spacing w:after="100"/>
        <w:jc w:val="both"/>
        <w:rPr>
          <w:lang w:eastAsia="zh-CN"/>
        </w:rPr>
      </w:pPr>
      <w:r>
        <w:rPr>
          <w:lang w:eastAsia="zh-CN"/>
        </w:rPr>
        <w:t xml:space="preserve">The required </w:t>
      </w:r>
      <w:r>
        <w:rPr>
          <w:rFonts w:hint="eastAsia"/>
          <w:lang w:eastAsia="zh-CN"/>
        </w:rPr>
        <w:t>CBW</w:t>
      </w:r>
      <w:r>
        <w:rPr>
          <w:lang w:eastAsia="zh-CN"/>
        </w:rPr>
        <w:t xml:space="preserve"> and SCS determine the needed FFT size. For example, a 400MHz bandwidth with 30kHz SCS requires a large 16k FFT</w:t>
      </w:r>
      <w:r>
        <w:rPr>
          <w:rFonts w:hint="eastAsia"/>
          <w:lang w:eastAsia="zh-CN"/>
        </w:rPr>
        <w:t xml:space="preserve"> size</w:t>
      </w:r>
      <w:r>
        <w:rPr>
          <w:lang w:eastAsia="zh-CN"/>
        </w:rPr>
        <w:t>. We believe that current hardware is powerful enough to handle this, making wider 6G channel bandwidths technically feasible.</w:t>
      </w:r>
    </w:p>
    <w:p w14:paraId="573706E4" w14:textId="77777777" w:rsidR="002B1A6D" w:rsidRDefault="00000000">
      <w:pPr>
        <w:spacing w:after="100"/>
        <w:jc w:val="both"/>
        <w:rPr>
          <w:b/>
          <w:bCs/>
          <w:i/>
          <w:iCs/>
          <w:lang w:eastAsia="zh-CN"/>
        </w:rPr>
      </w:pPr>
      <w:r>
        <w:rPr>
          <w:rFonts w:hint="eastAsia"/>
          <w:b/>
          <w:bCs/>
          <w:i/>
          <w:iCs/>
          <w:lang w:eastAsia="zh-CN"/>
        </w:rPr>
        <w:t>Proposal 3: 6GR should support a larger maximum channel bandwidth.</w:t>
      </w:r>
    </w:p>
    <w:p w14:paraId="751040E7" w14:textId="77777777" w:rsidR="002B1A6D" w:rsidRDefault="00000000">
      <w:pPr>
        <w:numPr>
          <w:ilvl w:val="0"/>
          <w:numId w:val="5"/>
        </w:numPr>
        <w:overflowPunct/>
        <w:autoSpaceDE/>
        <w:autoSpaceDN/>
        <w:adjustRightInd/>
        <w:snapToGrid w:val="0"/>
        <w:spacing w:after="0" w:line="360" w:lineRule="auto"/>
        <w:ind w:left="726" w:hanging="363"/>
        <w:jc w:val="both"/>
        <w:textAlignment w:val="auto"/>
        <w:rPr>
          <w:b/>
          <w:bCs/>
          <w:i/>
          <w:iCs/>
          <w:lang w:eastAsia="zh-CN"/>
        </w:rPr>
      </w:pPr>
      <w:r>
        <w:rPr>
          <w:rFonts w:hint="eastAsia"/>
          <w:b/>
          <w:bCs/>
          <w:i/>
          <w:iCs/>
          <w:lang w:eastAsia="zh-CN"/>
        </w:rPr>
        <w:t>For sub-6 GHz:, support a 100MHz channel bandwidth for FDD. Simultaneously, support a 200MHz channel bandwidth for TDD.</w:t>
      </w:r>
    </w:p>
    <w:p w14:paraId="0B96C339" w14:textId="77777777" w:rsidR="002B1A6D" w:rsidRDefault="00000000">
      <w:pPr>
        <w:numPr>
          <w:ilvl w:val="0"/>
          <w:numId w:val="5"/>
        </w:numPr>
        <w:overflowPunct/>
        <w:autoSpaceDE/>
        <w:autoSpaceDN/>
        <w:adjustRightInd/>
        <w:snapToGrid w:val="0"/>
        <w:spacing w:after="0" w:line="360" w:lineRule="auto"/>
        <w:ind w:left="726" w:hanging="363"/>
        <w:jc w:val="both"/>
        <w:textAlignment w:val="auto"/>
        <w:rPr>
          <w:b/>
          <w:bCs/>
          <w:i/>
          <w:iCs/>
          <w:lang w:eastAsia="zh-CN"/>
        </w:rPr>
      </w:pPr>
      <w:r>
        <w:rPr>
          <w:rFonts w:hint="eastAsia"/>
          <w:b/>
          <w:bCs/>
          <w:i/>
          <w:iCs/>
          <w:lang w:eastAsia="zh-CN"/>
        </w:rPr>
        <w:t>For around 7 GHz bands (including 6.425</w:t>
      </w:r>
      <w:r>
        <w:rPr>
          <w:rFonts w:hint="eastAsia"/>
          <w:b/>
          <w:bCs/>
          <w:i/>
          <w:iCs/>
          <w:lang w:eastAsia="zh-CN"/>
        </w:rPr>
        <w:t>–</w:t>
      </w:r>
      <w:r>
        <w:rPr>
          <w:rFonts w:hint="eastAsia"/>
          <w:b/>
          <w:bCs/>
          <w:i/>
          <w:iCs/>
          <w:lang w:eastAsia="zh-CN"/>
        </w:rPr>
        <w:t>7.125 GHz), support at least 200MHz channel bandwidth. Given its spectral efficiency advantages, we recommend studying and supporting 400MHz as the maximum channel bandwidth option for these bands.</w:t>
      </w:r>
    </w:p>
    <w:p w14:paraId="31CC2B5D" w14:textId="77777777" w:rsidR="002B1A6D" w:rsidRDefault="00000000">
      <w:pPr>
        <w:numPr>
          <w:ilvl w:val="0"/>
          <w:numId w:val="5"/>
        </w:numPr>
        <w:overflowPunct/>
        <w:autoSpaceDE/>
        <w:autoSpaceDN/>
        <w:adjustRightInd/>
        <w:snapToGrid w:val="0"/>
        <w:spacing w:line="360" w:lineRule="auto"/>
        <w:ind w:left="726" w:hanging="363"/>
        <w:jc w:val="both"/>
        <w:textAlignment w:val="auto"/>
        <w:rPr>
          <w:b/>
          <w:bCs/>
          <w:i/>
          <w:iCs/>
          <w:lang w:eastAsia="zh-CN"/>
        </w:rPr>
      </w:pPr>
      <w:r>
        <w:rPr>
          <w:rFonts w:hint="eastAsia"/>
          <w:b/>
          <w:bCs/>
          <w:i/>
          <w:iCs/>
          <w:lang w:eastAsia="zh-CN"/>
        </w:rPr>
        <w:t>For the FR2-1 bands, support at least 400MHz channel bandwidth.</w:t>
      </w:r>
    </w:p>
    <w:p w14:paraId="00A85778" w14:textId="77777777" w:rsidR="002B1A6D" w:rsidRDefault="00000000">
      <w:pPr>
        <w:jc w:val="both"/>
        <w:rPr>
          <w:b/>
          <w:bCs/>
          <w:i/>
          <w:iCs/>
          <w:lang w:eastAsia="zh-CN"/>
        </w:rPr>
      </w:pPr>
      <w:r>
        <w:rPr>
          <w:rFonts w:hint="eastAsia"/>
          <w:b/>
          <w:bCs/>
          <w:i/>
          <w:iCs/>
          <w:lang w:eastAsia="zh-CN"/>
        </w:rPr>
        <w:t>Proposal 4: 6GR should support at least an 8k FFT size, with further consideration to support a 16k FFT size.</w:t>
      </w:r>
    </w:p>
    <w:p w14:paraId="55305169" w14:textId="77777777" w:rsidR="002B1A6D" w:rsidRDefault="00000000">
      <w:pPr>
        <w:pStyle w:val="2"/>
        <w:rPr>
          <w:lang w:val="en-US" w:eastAsia="zh-CN"/>
        </w:rPr>
      </w:pPr>
      <w:r>
        <w:rPr>
          <w:rFonts w:hint="eastAsia"/>
          <w:lang w:val="en-US" w:eastAsia="zh-CN"/>
        </w:rPr>
        <w:t>6GR baseline frame/slot structure</w:t>
      </w:r>
    </w:p>
    <w:p w14:paraId="39B0198A" w14:textId="77777777" w:rsidR="002B1A6D" w:rsidRDefault="00000000">
      <w:pPr>
        <w:rPr>
          <w:rFonts w:eastAsia="Malgun Gothic"/>
          <w:b/>
          <w:u w:val="single"/>
          <w:lang w:eastAsia="zh-CN"/>
        </w:rPr>
      </w:pPr>
      <w:r>
        <w:rPr>
          <w:rFonts w:eastAsia="Malgun Gothic" w:hint="eastAsia"/>
          <w:b/>
          <w:u w:val="single"/>
          <w:lang w:eastAsia="zh-CN"/>
        </w:rPr>
        <w:t>Frame structure</w:t>
      </w:r>
    </w:p>
    <w:p w14:paraId="33D093C2" w14:textId="77777777" w:rsidR="002B1A6D" w:rsidRDefault="00000000">
      <w:pPr>
        <w:spacing w:after="100"/>
        <w:jc w:val="both"/>
        <w:rPr>
          <w:lang w:eastAsia="zh-CN"/>
        </w:rPr>
      </w:pPr>
      <w:r>
        <w:rPr>
          <w:rFonts w:hint="eastAsia"/>
          <w:lang w:eastAsia="zh-CN"/>
        </w:rPr>
        <w:t xml:space="preserve">In 5G NR, a simple frame structure is defined for a simple function-timing and synchronization. We think 6GR frame structure can reuse that of NR design, includes: Retaining the basic time unit of a 10ms radio frame composed of ten </w:t>
      </w:r>
      <w:r>
        <w:rPr>
          <w:rFonts w:hint="eastAsia"/>
          <w:lang w:eastAsia="zh-CN"/>
        </w:rPr>
        <w:lastRenderedPageBreak/>
        <w:t>1ms subframes. Keeping the resource grid defined by Physical Resource Blocks (PRBs), each containing 12 subcarriers, and Resource Elements (REs). Supporting cell-specific and UE-specific frame structure configuration via RRC, encompassing at least downlink, uplink, and flexible resource types.</w:t>
      </w:r>
    </w:p>
    <w:p w14:paraId="63C13E09" w14:textId="77777777" w:rsidR="002B1A6D" w:rsidRDefault="00000000">
      <w:pPr>
        <w:jc w:val="both"/>
        <w:rPr>
          <w:b/>
          <w:bCs/>
          <w:i/>
          <w:iCs/>
          <w:lang w:eastAsia="zh-CN"/>
        </w:rPr>
      </w:pPr>
      <w:r>
        <w:rPr>
          <w:rFonts w:hint="eastAsia"/>
          <w:b/>
          <w:bCs/>
          <w:i/>
          <w:iCs/>
          <w:lang w:eastAsia="zh-CN"/>
        </w:rPr>
        <w:t>Proposal 5: Reuse 5G frame structure as starting point.</w:t>
      </w:r>
    </w:p>
    <w:p w14:paraId="0775C0D4" w14:textId="77777777" w:rsidR="002B1A6D" w:rsidRDefault="00000000">
      <w:pPr>
        <w:rPr>
          <w:b/>
          <w:bCs/>
          <w:i/>
          <w:iCs/>
          <w:lang w:eastAsia="zh-CN"/>
        </w:rPr>
      </w:pPr>
      <w:r>
        <w:rPr>
          <w:rFonts w:eastAsia="Malgun Gothic" w:hint="eastAsia"/>
          <w:b/>
          <w:u w:val="single"/>
          <w:lang w:eastAsia="zh-CN"/>
        </w:rPr>
        <w:t>Slot structure</w:t>
      </w:r>
    </w:p>
    <w:p w14:paraId="4B734B86" w14:textId="77777777" w:rsidR="002B1A6D" w:rsidRDefault="00000000">
      <w:pPr>
        <w:spacing w:after="100"/>
        <w:jc w:val="both"/>
        <w:rPr>
          <w:lang w:eastAsia="zh-CN"/>
        </w:rPr>
      </w:pPr>
      <w:r>
        <w:rPr>
          <w:lang w:eastAsia="zh-CN"/>
        </w:rPr>
        <w:t>To meet the requirements of 6G in terms of extreme performance and diverse scenarios, its air interface design needs to further develop more flexible and refined scheduling mechanisms based on the existing foundation of 5G. Although various versions of 5G NR have significantly enhanced scheduling flexibility through the introduction of multiple mechanisms such as mini-slots, cross-slot scheduling, and transport block repetition, 6G still needs to achieve key evolutions on this basis.</w:t>
      </w:r>
      <w:r>
        <w:rPr>
          <w:rFonts w:hint="eastAsia"/>
          <w:lang w:eastAsia="zh-CN"/>
        </w:rPr>
        <w:t xml:space="preserve"> 5G NR refines the granularity of resource allocation from the slot level to the symbol level (i.e., "mini-slots"). Mini-slots support symbol-level multiplexing of different channels (such as PDCCH and PDSCH) within the same slot, improving resource utilization. They also allow the granularity of beam scanning to be refined to the mini-slot level in the millimeter-wave band, thereby enabling multi-beam transmission within a single slot and greatly improving efficiency. 6G will more extensively utilize higher frequency bands and massive MIMO, and symbol-level scheduling remains an indispensable basic capability for refined beam management and efficient resource multiplexing.</w:t>
      </w:r>
    </w:p>
    <w:p w14:paraId="21252A99" w14:textId="77777777" w:rsidR="002B1A6D" w:rsidRDefault="00000000">
      <w:pPr>
        <w:spacing w:after="100"/>
        <w:jc w:val="both"/>
        <w:rPr>
          <w:b/>
          <w:bCs/>
          <w:i/>
          <w:iCs/>
          <w:lang w:eastAsia="zh-CN"/>
        </w:rPr>
      </w:pPr>
      <w:r>
        <w:rPr>
          <w:lang w:eastAsia="zh-CN"/>
        </w:rPr>
        <w:t>5G NR defines a 14-symbol slot as the numerology-dependent time reference. In the NR standard, the slot serves as the basic unit for scheduling. The Rel-15 version stipulates that a physical transport block (PxSCH) can start from any symbol in a slot but cannot cross slot boundaries. In addition, NR has introduced a repetition mechanism—where the same transport block is reused across multiple slots, with the same allocation scheme adopted for each slot. The NR Rel-17 version further enhances the repetition function of the Physical Uplink Shared Channel (PUSCH) and introduces the cross-slot transport block (TBoMS), meaning a transport block can be mapped to multiple slots. In the 6G R standard, we should natively support cross-slot transmission through time-domain resource allocation schemes. A transport block will be mapped to a PxSCH allocation scheme, which may span more than 14 symbols. Consistent with the NR standard, the allocation scheme can start at any symbol in a slot.</w:t>
      </w:r>
    </w:p>
    <w:p w14:paraId="29DFFE09" w14:textId="77777777" w:rsidR="002B1A6D" w:rsidRDefault="00000000">
      <w:pPr>
        <w:spacing w:after="100"/>
        <w:jc w:val="both"/>
        <w:rPr>
          <w:b/>
          <w:bCs/>
          <w:i/>
          <w:iCs/>
          <w:lang w:eastAsia="zh-CN"/>
        </w:rPr>
      </w:pPr>
      <w:r>
        <w:rPr>
          <w:rFonts w:hint="eastAsia"/>
          <w:b/>
          <w:bCs/>
          <w:i/>
          <w:iCs/>
          <w:lang w:eastAsia="zh-CN"/>
        </w:rPr>
        <w:t xml:space="preserve">Proposal 6: Slot consisting of 14 symbols is considered as starting point. </w:t>
      </w:r>
    </w:p>
    <w:p w14:paraId="11215991" w14:textId="77777777" w:rsidR="002B1A6D" w:rsidRDefault="00000000">
      <w:pPr>
        <w:numPr>
          <w:ilvl w:val="0"/>
          <w:numId w:val="5"/>
        </w:numPr>
        <w:overflowPunct/>
        <w:autoSpaceDE/>
        <w:autoSpaceDN/>
        <w:adjustRightInd/>
        <w:snapToGrid w:val="0"/>
        <w:spacing w:after="0" w:line="360" w:lineRule="auto"/>
        <w:ind w:left="726" w:hanging="363"/>
        <w:textAlignment w:val="auto"/>
        <w:rPr>
          <w:b/>
          <w:bCs/>
          <w:i/>
          <w:iCs/>
          <w:lang w:eastAsia="zh-CN"/>
        </w:rPr>
      </w:pPr>
      <w:r>
        <w:rPr>
          <w:rFonts w:hint="eastAsia"/>
          <w:b/>
          <w:bCs/>
          <w:i/>
          <w:iCs/>
          <w:lang w:eastAsia="zh-CN"/>
        </w:rPr>
        <w:t>FFS for flexible scheduling, support symbol-level resource allocation and configuration, as well as allowing PxSCH to cross slot boundaries. This allocation can start at any symbol within a slot.</w:t>
      </w:r>
    </w:p>
    <w:p w14:paraId="4775CF4A" w14:textId="77777777" w:rsidR="002B1A6D" w:rsidRDefault="00000000">
      <w:pPr>
        <w:spacing w:before="180"/>
        <w:rPr>
          <w:rFonts w:eastAsia="Malgun Gothic"/>
          <w:b/>
          <w:u w:val="single"/>
          <w:lang w:eastAsia="zh-CN"/>
        </w:rPr>
      </w:pPr>
      <w:r>
        <w:rPr>
          <w:rFonts w:eastAsia="Malgun Gothic" w:hint="eastAsia"/>
          <w:b/>
          <w:u w:val="single"/>
          <w:lang w:eastAsia="zh-CN"/>
        </w:rPr>
        <w:t>Potential impacts of advanced duplex on frame/slot structure</w:t>
      </w:r>
    </w:p>
    <w:p w14:paraId="0D9E2BE4" w14:textId="77777777" w:rsidR="002B1A6D" w:rsidRDefault="00000000">
      <w:pPr>
        <w:spacing w:after="100"/>
        <w:jc w:val="both"/>
        <w:rPr>
          <w:lang w:eastAsia="zh-CN"/>
        </w:rPr>
      </w:pPr>
      <w:r>
        <w:rPr>
          <w:lang w:eastAsia="zh-CN"/>
        </w:rPr>
        <w:t>OFDM symbols within a slot in a downlink or uplink frame can be classified into 'downlink symbols', 'flexible symbols', or 'uplink symbols'. Flexible symbols, configured via RRC signaling, can be used for downlink or uplink respectively based on specific DL assignments or UL grants.</w:t>
      </w:r>
      <w:r>
        <w:rPr>
          <w:rFonts w:hint="eastAsia"/>
          <w:lang w:eastAsia="zh-CN"/>
        </w:rPr>
        <w:t xml:space="preserve"> </w:t>
      </w:r>
    </w:p>
    <w:p w14:paraId="080693C9" w14:textId="77777777" w:rsidR="002B1A6D" w:rsidRDefault="00000000">
      <w:pPr>
        <w:spacing w:after="100"/>
        <w:jc w:val="both"/>
        <w:rPr>
          <w:lang w:eastAsia="zh-CN"/>
        </w:rPr>
      </w:pPr>
      <w:r>
        <w:rPr>
          <w:lang w:eastAsia="zh-CN"/>
        </w:rPr>
        <w:t xml:space="preserve">The slot format of NR was initially designed for the time domain, meaning the TDD mode is applied to the entire bandwidth of a cell. In later versions of NR, SBFD was introduced on top of the TDD UL-DL mode, aiming to reduce uplink latency and improve uplink coverage and capacity. However, due to the complexity of network and UE implementation, only semi-static SBFD configuration is supported. SBFD slots/symbols can be configured in DL or flexible slots/symbols, but not in UL slots/symbols. In SBFD slots/symbols, a maximum of two DL subbands and one UL subband can be configured in the frequency domain, while UEs still operate in half-duplex mode. Since SBFD was introduced in NR Rel-19, SBFD configuration is transparent to legacy NR UEs. For UEs that support SBFD, the network will provide subband configurations. In 6GR, it is necessary to fully consider the impact of advanced duplexing </w:t>
      </w:r>
      <w:r>
        <w:rPr>
          <w:lang w:eastAsia="zh-CN"/>
        </w:rPr>
        <w:lastRenderedPageBreak/>
        <w:t xml:space="preserve">technologies, strive to achieve a unified framework for multiple duplex modes (TDD, FDD, gNB-side SBFD, etc.), and reserve compatibility for more advanced duplex technologies in the future. </w:t>
      </w:r>
      <w:r>
        <w:rPr>
          <w:rFonts w:hint="eastAsia"/>
          <w:lang w:eastAsia="zh-CN"/>
        </w:rPr>
        <w:t>Therefore, i</w:t>
      </w:r>
      <w:r>
        <w:rPr>
          <w:lang w:eastAsia="zh-CN"/>
        </w:rPr>
        <w:t>t is beneficial to support all slot/symbol types (including non-SBFD and SBFD) with a unified scheme from day-1.</w:t>
      </w:r>
    </w:p>
    <w:p w14:paraId="7F604435" w14:textId="77777777" w:rsidR="002B1A6D" w:rsidRDefault="00000000">
      <w:pPr>
        <w:spacing w:after="100"/>
        <w:jc w:val="both"/>
        <w:rPr>
          <w:lang w:eastAsia="zh-CN"/>
        </w:rPr>
      </w:pPr>
      <w:r>
        <w:rPr>
          <w:lang w:eastAsia="zh-CN"/>
        </w:rPr>
        <w:t>In addition to the three distinct symbol types defined in 5G NR (D symbols, U symbols, F symbols), a new symbol type, called "</w:t>
      </w:r>
      <w:r>
        <w:rPr>
          <w:rFonts w:hint="eastAsia"/>
          <w:lang w:eastAsia="zh-CN"/>
        </w:rPr>
        <w:t>SBFD</w:t>
      </w:r>
      <w:r>
        <w:rPr>
          <w:lang w:eastAsia="zh-CN"/>
        </w:rPr>
        <w:t xml:space="preserve"> symbols", can be introduced. Such </w:t>
      </w:r>
      <w:r>
        <w:rPr>
          <w:rFonts w:hint="eastAsia"/>
          <w:lang w:eastAsia="zh-CN"/>
        </w:rPr>
        <w:t>SBFD</w:t>
      </w:r>
      <w:r>
        <w:rPr>
          <w:lang w:eastAsia="zh-CN"/>
        </w:rPr>
        <w:t xml:space="preserve"> symbols are used for SBFD transmission and potential overlapping full-duplex communications to effectively integrate uplink and downlink transmissions.</w:t>
      </w:r>
    </w:p>
    <w:p w14:paraId="2B259C51" w14:textId="77777777" w:rsidR="002B1A6D" w:rsidRDefault="00000000">
      <w:pPr>
        <w:spacing w:after="100"/>
        <w:jc w:val="both"/>
        <w:rPr>
          <w:b/>
          <w:bCs/>
          <w:i/>
          <w:iCs/>
          <w:lang w:eastAsia="zh-CN"/>
        </w:rPr>
      </w:pPr>
      <w:r>
        <w:rPr>
          <w:b/>
          <w:bCs/>
          <w:i/>
          <w:iCs/>
          <w:lang w:eastAsia="zh-CN"/>
        </w:rPr>
        <w:t>Proposal</w:t>
      </w:r>
      <w:r>
        <w:rPr>
          <w:rFonts w:hint="eastAsia"/>
          <w:b/>
          <w:bCs/>
          <w:i/>
          <w:iCs/>
          <w:lang w:eastAsia="zh-CN"/>
        </w:rPr>
        <w:t xml:space="preserve"> 7</w:t>
      </w:r>
      <w:r>
        <w:rPr>
          <w:b/>
          <w:bCs/>
          <w:i/>
          <w:iCs/>
          <w:lang w:eastAsia="zh-CN"/>
        </w:rPr>
        <w:t>: Retain the definitions of downlink symbols, uplink symbols, and flexible symbols from 5G. And natively support SBFD in 6G Day-1.</w:t>
      </w:r>
    </w:p>
    <w:p w14:paraId="5CEA9B07" w14:textId="77777777" w:rsidR="002B1A6D" w:rsidRDefault="00000000">
      <w:pPr>
        <w:numPr>
          <w:ilvl w:val="0"/>
          <w:numId w:val="5"/>
        </w:numPr>
        <w:overflowPunct/>
        <w:autoSpaceDE/>
        <w:autoSpaceDN/>
        <w:adjustRightInd/>
        <w:snapToGrid w:val="0"/>
        <w:spacing w:after="0" w:line="360" w:lineRule="auto"/>
        <w:ind w:left="726" w:hanging="363"/>
        <w:textAlignment w:val="auto"/>
        <w:rPr>
          <w:b/>
          <w:bCs/>
          <w:i/>
          <w:iCs/>
          <w:lang w:eastAsia="zh-CN"/>
        </w:rPr>
      </w:pPr>
      <w:r>
        <w:rPr>
          <w:b/>
          <w:bCs/>
          <w:i/>
          <w:iCs/>
          <w:lang w:eastAsia="zh-CN"/>
        </w:rPr>
        <w:t>FFS for a new symbol type of SBFD</w:t>
      </w:r>
      <w:r>
        <w:rPr>
          <w:rFonts w:hint="eastAsia"/>
          <w:b/>
          <w:bCs/>
          <w:i/>
          <w:iCs/>
          <w:lang w:eastAsia="zh-CN"/>
        </w:rPr>
        <w:t>.</w:t>
      </w:r>
    </w:p>
    <w:p w14:paraId="2F4A3FF3" w14:textId="77777777" w:rsidR="002B1A6D" w:rsidRDefault="00000000">
      <w:pPr>
        <w:spacing w:before="180"/>
        <w:rPr>
          <w:rFonts w:eastAsia="Malgun Gothic"/>
          <w:b/>
          <w:u w:val="single"/>
          <w:lang w:eastAsia="zh-CN"/>
        </w:rPr>
      </w:pPr>
      <w:r>
        <w:rPr>
          <w:rFonts w:eastAsia="Malgun Gothic"/>
          <w:b/>
          <w:u w:val="single"/>
          <w:lang w:eastAsia="zh-CN"/>
        </w:rPr>
        <w:t xml:space="preserve">Potential impacts of </w:t>
      </w:r>
      <w:r>
        <w:rPr>
          <w:rFonts w:eastAsia="Malgun Gothic" w:hint="eastAsia"/>
          <w:b/>
          <w:u w:val="single"/>
          <w:lang w:eastAsia="zh-CN"/>
        </w:rPr>
        <w:t>ISAC</w:t>
      </w:r>
      <w:r>
        <w:rPr>
          <w:rFonts w:eastAsia="Malgun Gothic"/>
          <w:b/>
          <w:u w:val="single"/>
          <w:lang w:eastAsia="zh-CN"/>
        </w:rPr>
        <w:t xml:space="preserve"> on frame/slot structure</w:t>
      </w:r>
    </w:p>
    <w:p w14:paraId="4E84100A" w14:textId="77777777" w:rsidR="002B1A6D" w:rsidRDefault="00000000">
      <w:pPr>
        <w:spacing w:after="100"/>
        <w:jc w:val="both"/>
        <w:rPr>
          <w:lang w:eastAsia="zh-CN"/>
        </w:rPr>
      </w:pPr>
      <w:r>
        <w:rPr>
          <w:lang w:eastAsia="zh-CN"/>
        </w:rPr>
        <w:t xml:space="preserve">The core of ISAC lies in the efficient integration of signals and resources. Sensing signals can be transmitted within the baseline frame structure designed for communication, eliminating the need for a separate dedicated frame structure. ISAC </w:t>
      </w:r>
      <w:r>
        <w:rPr>
          <w:rFonts w:hint="eastAsia"/>
          <w:lang w:eastAsia="zh-CN"/>
        </w:rPr>
        <w:t>r</w:t>
      </w:r>
      <w:r>
        <w:rPr>
          <w:lang w:eastAsia="zh-CN"/>
        </w:rPr>
        <w:t xml:space="preserve">eference </w:t>
      </w:r>
      <w:r>
        <w:rPr>
          <w:rFonts w:hint="eastAsia"/>
          <w:lang w:eastAsia="zh-CN"/>
        </w:rPr>
        <w:t>s</w:t>
      </w:r>
      <w:r>
        <w:rPr>
          <w:lang w:eastAsia="zh-CN"/>
        </w:rPr>
        <w:t>ignals (RS) and communication signals can share radio resources through TDM or FDM. The 6G frame structure should natively support both ISAC and communication signals, leveraging a unified frame structure and time-frequency resource grid parameters to maximize resource utilization while reducing implementation complexity. Specific multiplexing strategies need to match the sensing mode:</w:t>
      </w:r>
    </w:p>
    <w:p w14:paraId="3B682367" w14:textId="77777777" w:rsidR="002B1A6D" w:rsidRDefault="00000000">
      <w:pPr>
        <w:spacing w:after="100"/>
        <w:jc w:val="both"/>
        <w:rPr>
          <w:lang w:eastAsia="zh-CN"/>
        </w:rPr>
      </w:pPr>
      <w:r>
        <w:rPr>
          <w:rFonts w:hint="eastAsia"/>
          <w:lang w:eastAsia="zh-CN"/>
        </w:rPr>
        <w:t>For mono-static sensing: To avoid receiver power saturation and extend coverage, radar-like pulse waves (implemented through TDM between transmission and reception) are considered, which may require the introduction of dedicated symbol structures. Even if the OFDM waveform is reused, it may be necessary to extend the CP to improve coverage, which would also result in sensing-specific symbol structures. Therefore, it is considered that communication and mono-static sensing can coexist at least through TDM.</w:t>
      </w:r>
    </w:p>
    <w:p w14:paraId="2523031B" w14:textId="77777777" w:rsidR="002B1A6D" w:rsidRDefault="00000000">
      <w:pPr>
        <w:spacing w:after="100"/>
        <w:jc w:val="both"/>
        <w:rPr>
          <w:lang w:eastAsia="zh-CN"/>
        </w:rPr>
      </w:pPr>
      <w:r>
        <w:rPr>
          <w:rFonts w:hint="eastAsia"/>
          <w:lang w:eastAsia="zh-CN"/>
        </w:rPr>
        <w:t>For bi-static sensing: Since sensing and communication signals experience consistent channel conditions, we propose reusing existing OFDM waveforms for bi-static sensing. Both dedicated RS and communication RS can be used for sensing, supporting symbol/slot-level TDM and RB/RE-level FDM.</w:t>
      </w:r>
    </w:p>
    <w:p w14:paraId="4B3AF0BC" w14:textId="77777777" w:rsidR="002B1A6D" w:rsidRDefault="00000000">
      <w:pPr>
        <w:spacing w:after="100"/>
        <w:jc w:val="both"/>
        <w:rPr>
          <w:lang w:eastAsia="zh-CN"/>
        </w:rPr>
      </w:pPr>
      <w:r>
        <w:rPr>
          <w:rFonts w:hint="eastAsia"/>
          <w:lang w:eastAsia="zh-CN"/>
        </w:rPr>
        <w:t>Looking ahead, 6G needs to support diverse devices and scenarios, so its frame structure must ensure the harmonious coexistence of multiple services. 6G should natively support the configuration of dedicated time-frequency resources for specific services (e.g., ISAC), with access restricted exclusively to devices that support the service. For devices that do not support the service, such resources should be marked as unavailable.</w:t>
      </w:r>
    </w:p>
    <w:p w14:paraId="2F32328A" w14:textId="77777777" w:rsidR="002B1A6D" w:rsidRDefault="00000000">
      <w:pPr>
        <w:spacing w:after="100"/>
        <w:jc w:val="both"/>
        <w:rPr>
          <w:b/>
          <w:bCs/>
          <w:i/>
          <w:iCs/>
          <w:lang w:eastAsia="zh-CN"/>
        </w:rPr>
      </w:pPr>
      <w:r>
        <w:rPr>
          <w:rFonts w:hint="eastAsia"/>
          <w:b/>
          <w:bCs/>
          <w:i/>
          <w:iCs/>
          <w:lang w:eastAsia="zh-CN"/>
        </w:rPr>
        <w:t>Proposal 8</w:t>
      </w:r>
      <w:r>
        <w:rPr>
          <w:rFonts w:hint="eastAsia"/>
          <w:b/>
          <w:bCs/>
          <w:i/>
          <w:iCs/>
          <w:lang w:eastAsia="zh-CN"/>
        </w:rPr>
        <w:t>：</w:t>
      </w:r>
      <w:r>
        <w:rPr>
          <w:rFonts w:hint="eastAsia"/>
          <w:b/>
          <w:bCs/>
          <w:i/>
          <w:iCs/>
          <w:lang w:eastAsia="zh-CN"/>
        </w:rPr>
        <w:t>Reuse the baseline frame structure for 6G Sensing as a starting point for study.</w:t>
      </w:r>
    </w:p>
    <w:p w14:paraId="33C9B498" w14:textId="77777777" w:rsidR="002B1A6D" w:rsidRDefault="00000000">
      <w:pPr>
        <w:numPr>
          <w:ilvl w:val="0"/>
          <w:numId w:val="5"/>
        </w:numPr>
        <w:overflowPunct/>
        <w:autoSpaceDE/>
        <w:autoSpaceDN/>
        <w:adjustRightInd/>
        <w:snapToGrid w:val="0"/>
        <w:spacing w:after="0" w:line="360" w:lineRule="auto"/>
        <w:ind w:left="726" w:hanging="363"/>
        <w:textAlignment w:val="auto"/>
        <w:rPr>
          <w:b/>
          <w:bCs/>
          <w:i/>
          <w:iCs/>
          <w:lang w:eastAsia="zh-CN"/>
        </w:rPr>
      </w:pPr>
      <w:r>
        <w:rPr>
          <w:rFonts w:hint="eastAsia"/>
          <w:b/>
          <w:bCs/>
          <w:i/>
          <w:iCs/>
          <w:lang w:eastAsia="zh-CN"/>
        </w:rPr>
        <w:t>FFS for the introduction of dedicated ISAC symbol or symbol structure.</w:t>
      </w:r>
    </w:p>
    <w:p w14:paraId="5C220A9A" w14:textId="77777777" w:rsidR="002B1A6D" w:rsidRDefault="00000000">
      <w:pPr>
        <w:pStyle w:val="2"/>
        <w:rPr>
          <w:lang w:val="en-US" w:eastAsia="zh-CN"/>
        </w:rPr>
      </w:pPr>
      <w:r>
        <w:rPr>
          <w:rFonts w:hint="eastAsia"/>
          <w:lang w:val="en-US" w:eastAsia="zh-CN"/>
        </w:rPr>
        <w:t>Duplex</w:t>
      </w:r>
    </w:p>
    <w:p w14:paraId="20FD988E" w14:textId="77777777" w:rsidR="002B1A6D" w:rsidRDefault="00000000">
      <w:pPr>
        <w:spacing w:after="100"/>
        <w:jc w:val="both"/>
        <w:rPr>
          <w:lang w:eastAsia="zh-CN"/>
        </w:rPr>
      </w:pPr>
      <w:r>
        <w:rPr>
          <w:rFonts w:hint="eastAsia"/>
          <w:lang w:eastAsia="zh-CN"/>
        </w:rPr>
        <w:t xml:space="preserve">Currently, 5G NR supports a variety of duplex modes, including Frequency Division Duplex (FDD), Time Division Duplex (TDD), Dynamic Time Division Duplex (D-TDD), and Subband Non-overlapping Full Duplex (SBFD). FDD demonstrates excellent performance in coverage and latency; TDD features high spectrum efficiency and is a core candidate for 6G new frequency bands (e.g., 7GHz); although D-TDD can dynamically adapt to traffic loads to improve spectrum efficiency, its commercialization is limited due to cross-link interference (CLI); SBFD completed the specification of semi-static configuration in Rel-19, which effectively enhances the uplink coverage and capacity of TDD spectrum. Dynamically adjusting DL/UL resources can better adapt to traffic changes and provide appropriate </w:t>
      </w:r>
      <w:r>
        <w:rPr>
          <w:rFonts w:hint="eastAsia"/>
          <w:lang w:eastAsia="zh-CN"/>
        </w:rPr>
        <w:lastRenderedPageBreak/>
        <w:t>amounts of UL and DL resources. In addition to the adaptation of DL/UL in the time domain, further adaptation of DL/UL resources in the frequency domain (e.g., in SBFD slots) is also beneficial. However, while dynamic schemes bring gains, they inevitably introduce more CLI and increase the complexity of device implementation and network scheduling.</w:t>
      </w:r>
    </w:p>
    <w:p w14:paraId="3BD23490" w14:textId="77777777" w:rsidR="002B1A6D" w:rsidRDefault="00000000">
      <w:pPr>
        <w:spacing w:after="100"/>
        <w:jc w:val="both"/>
        <w:rPr>
          <w:lang w:eastAsia="zh-CN"/>
        </w:rPr>
      </w:pPr>
      <w:r>
        <w:rPr>
          <w:rFonts w:hint="eastAsia"/>
          <w:lang w:eastAsia="zh-CN"/>
        </w:rPr>
        <w:t>For 6GR, the allocation of transmission directions for specific time-frequency resource blocks should support at least semi-static configuration methods (e.g., semi-static TDD/FDD/SBFD), as these are the most mature schemes in 5G technology. Meanwhile, further research in dynamic transmission direction adjustment technologies (e.g., dynamic TDD/SBFD) is required to adapt to different application scenarios, deployment scenarios, and service load requirements. However, core challenges such as cross-link interference suppression should be focused on, and priority should be given to their application in local deployment scenarios with relatively controllable interference (e.g., indoor hotspots, high-frequency band environments). Meanwhile, efforts should be made to design a simpler implementation framework than 5G NR to control complexity.</w:t>
      </w:r>
    </w:p>
    <w:p w14:paraId="0A373BE7" w14:textId="77777777" w:rsidR="002B1A6D" w:rsidRDefault="00000000">
      <w:pPr>
        <w:spacing w:after="100"/>
        <w:jc w:val="both"/>
        <w:rPr>
          <w:b/>
          <w:bCs/>
          <w:i/>
          <w:iCs/>
          <w:lang w:eastAsia="zh-CN"/>
        </w:rPr>
      </w:pPr>
      <w:r>
        <w:rPr>
          <w:b/>
          <w:bCs/>
          <w:i/>
          <w:iCs/>
          <w:lang w:eastAsia="zh-CN"/>
        </w:rPr>
        <w:t xml:space="preserve">Proposal </w:t>
      </w:r>
      <w:r>
        <w:rPr>
          <w:rFonts w:hint="eastAsia"/>
          <w:b/>
          <w:bCs/>
          <w:i/>
          <w:iCs/>
          <w:lang w:eastAsia="zh-CN"/>
        </w:rPr>
        <w:t>9</w:t>
      </w:r>
      <w:r>
        <w:rPr>
          <w:b/>
          <w:bCs/>
          <w:i/>
          <w:iCs/>
          <w:lang w:eastAsia="zh-CN"/>
        </w:rPr>
        <w:t>:</w:t>
      </w:r>
      <w:r>
        <w:rPr>
          <w:rFonts w:hint="eastAsia"/>
          <w:b/>
          <w:bCs/>
          <w:i/>
          <w:iCs/>
          <w:lang w:eastAsia="zh-CN"/>
        </w:rPr>
        <w:t xml:space="preserve"> </w:t>
      </w:r>
      <w:r>
        <w:rPr>
          <w:b/>
          <w:bCs/>
          <w:i/>
          <w:iCs/>
          <w:lang w:eastAsia="zh-CN"/>
        </w:rPr>
        <w:t>6GR sh</w:t>
      </w:r>
      <w:r>
        <w:rPr>
          <w:rFonts w:hint="eastAsia"/>
          <w:b/>
          <w:bCs/>
          <w:i/>
          <w:iCs/>
          <w:lang w:eastAsia="zh-CN"/>
        </w:rPr>
        <w:t>ould</w:t>
      </w:r>
      <w:r>
        <w:rPr>
          <w:b/>
          <w:bCs/>
          <w:i/>
          <w:iCs/>
          <w:lang w:eastAsia="zh-CN"/>
        </w:rPr>
        <w:t xml:space="preserve"> support TDD, FDD, and </w:t>
      </w:r>
      <w:r>
        <w:rPr>
          <w:rFonts w:hint="eastAsia"/>
          <w:b/>
          <w:bCs/>
          <w:i/>
          <w:iCs/>
          <w:lang w:eastAsia="zh-CN"/>
        </w:rPr>
        <w:t>c</w:t>
      </w:r>
      <w:r>
        <w:rPr>
          <w:b/>
          <w:bCs/>
          <w:i/>
          <w:iCs/>
          <w:lang w:eastAsia="zh-CN"/>
        </w:rPr>
        <w:t>ell</w:t>
      </w:r>
      <w:r>
        <w:rPr>
          <w:rFonts w:hint="eastAsia"/>
          <w:b/>
          <w:bCs/>
          <w:i/>
          <w:iCs/>
          <w:lang w:eastAsia="zh-CN"/>
        </w:rPr>
        <w:t>-</w:t>
      </w:r>
      <w:r>
        <w:rPr>
          <w:b/>
          <w:bCs/>
          <w:i/>
          <w:iCs/>
          <w:lang w:eastAsia="zh-CN"/>
        </w:rPr>
        <w:t>specific SBFD as the starting point, and study the unified frame structure design for various duplex type</w:t>
      </w:r>
      <w:r>
        <w:rPr>
          <w:rFonts w:hint="eastAsia"/>
          <w:b/>
          <w:bCs/>
          <w:i/>
          <w:iCs/>
          <w:lang w:eastAsia="zh-CN"/>
        </w:rPr>
        <w:t>s</w:t>
      </w:r>
      <w:r>
        <w:rPr>
          <w:b/>
          <w:bCs/>
          <w:i/>
          <w:iCs/>
          <w:lang w:eastAsia="zh-CN"/>
        </w:rPr>
        <w:t>.</w:t>
      </w:r>
    </w:p>
    <w:p w14:paraId="0401BA41" w14:textId="77777777" w:rsidR="002B1A6D" w:rsidRDefault="00000000">
      <w:pPr>
        <w:numPr>
          <w:ilvl w:val="0"/>
          <w:numId w:val="5"/>
        </w:numPr>
        <w:overflowPunct/>
        <w:autoSpaceDE/>
        <w:autoSpaceDN/>
        <w:adjustRightInd/>
        <w:snapToGrid w:val="0"/>
        <w:spacing w:after="0" w:line="360" w:lineRule="auto"/>
        <w:ind w:left="726" w:hanging="363"/>
        <w:textAlignment w:val="auto"/>
        <w:rPr>
          <w:lang w:eastAsia="zh-CN"/>
        </w:rPr>
      </w:pPr>
      <w:r>
        <w:rPr>
          <w:b/>
          <w:bCs/>
          <w:i/>
          <w:iCs/>
          <w:lang w:eastAsia="zh-CN"/>
        </w:rPr>
        <w:t>FFS for dynamic SBFD and dynamic TDD</w:t>
      </w:r>
    </w:p>
    <w:p w14:paraId="5152FEF8" w14:textId="77777777" w:rsidR="002B1A6D" w:rsidRDefault="00000000">
      <w:pPr>
        <w:pStyle w:val="1"/>
        <w:rPr>
          <w:rFonts w:eastAsiaTheme="minorEastAsia"/>
          <w:lang w:val="en-US" w:eastAsia="zh-CN"/>
        </w:rPr>
      </w:pPr>
      <w:r>
        <w:rPr>
          <w:rFonts w:eastAsiaTheme="minorEastAsia" w:hint="eastAsia"/>
          <w:lang w:val="en-US" w:eastAsia="zh-CN"/>
        </w:rPr>
        <w:t>Conclusion</w:t>
      </w:r>
    </w:p>
    <w:p w14:paraId="780C4223" w14:textId="77777777" w:rsidR="002B1A6D" w:rsidRDefault="00000000">
      <w:pPr>
        <w:spacing w:after="100"/>
        <w:jc w:val="both"/>
        <w:rPr>
          <w:b/>
          <w:bCs/>
          <w:i/>
          <w:iCs/>
          <w:lang w:eastAsia="zh-CN"/>
        </w:rPr>
      </w:pPr>
      <w:r>
        <w:rPr>
          <w:rFonts w:hint="eastAsia"/>
          <w:b/>
          <w:bCs/>
          <w:i/>
          <w:iCs/>
          <w:lang w:eastAsia="zh-CN"/>
        </w:rPr>
        <w:t>Proposal 1: For 6G numerologies,</w:t>
      </w:r>
    </w:p>
    <w:p w14:paraId="095234F3" w14:textId="77777777" w:rsidR="002B1A6D" w:rsidRDefault="00000000">
      <w:pPr>
        <w:numPr>
          <w:ilvl w:val="0"/>
          <w:numId w:val="5"/>
        </w:numPr>
        <w:overflowPunct/>
        <w:autoSpaceDE/>
        <w:autoSpaceDN/>
        <w:adjustRightInd/>
        <w:snapToGrid w:val="0"/>
        <w:spacing w:after="0" w:line="360" w:lineRule="auto"/>
        <w:ind w:left="726" w:hanging="363"/>
        <w:textAlignment w:val="auto"/>
        <w:rPr>
          <w:rFonts w:eastAsia="Malgun Gothic" w:cs="Times"/>
          <w:b/>
          <w:i/>
          <w:iCs/>
          <w:lang w:eastAsia="zh-CN"/>
        </w:rPr>
      </w:pPr>
      <w:r>
        <w:rPr>
          <w:rFonts w:eastAsia="Malgun Gothic" w:cs="Times" w:hint="eastAsia"/>
          <w:b/>
          <w:i/>
          <w:iCs/>
          <w:lang w:eastAsia="zh-CN"/>
        </w:rPr>
        <w:t>6GR can reuse 5G NR SCS (SCS =</w:t>
      </w:r>
      <w:r>
        <w:rPr>
          <w:rFonts w:eastAsia="Malgun Gothic"/>
          <w:b/>
          <w:i/>
          <w:iCs/>
          <w:lang w:eastAsia="zh-CN"/>
        </w:rPr>
        <w:t xml:space="preserve"> 15×2ⁿ</w:t>
      </w:r>
      <w:r>
        <w:rPr>
          <w:rFonts w:eastAsia="Malgun Gothic" w:cs="Times" w:hint="eastAsia"/>
          <w:b/>
          <w:i/>
          <w:iCs/>
          <w:lang w:eastAsia="zh-CN"/>
        </w:rPr>
        <w:t xml:space="preserve"> kHz) as a starting point.</w:t>
      </w:r>
    </w:p>
    <w:p w14:paraId="31C6080C" w14:textId="77777777" w:rsidR="002B1A6D" w:rsidRDefault="00000000">
      <w:pPr>
        <w:numPr>
          <w:ilvl w:val="0"/>
          <w:numId w:val="5"/>
        </w:numPr>
        <w:overflowPunct/>
        <w:autoSpaceDE/>
        <w:autoSpaceDN/>
        <w:adjustRightInd/>
        <w:snapToGrid w:val="0"/>
        <w:spacing w:after="0" w:line="360" w:lineRule="auto"/>
        <w:ind w:left="726" w:hanging="363"/>
        <w:textAlignment w:val="auto"/>
        <w:rPr>
          <w:rFonts w:eastAsia="Malgun Gothic" w:cs="Times"/>
          <w:b/>
          <w:i/>
          <w:iCs/>
          <w:lang w:eastAsia="zh-CN"/>
        </w:rPr>
      </w:pPr>
      <w:r>
        <w:rPr>
          <w:rFonts w:eastAsia="Malgun Gothic" w:cs="Times" w:hint="eastAsia"/>
          <w:b/>
          <w:i/>
          <w:iCs/>
          <w:lang w:eastAsia="zh-CN"/>
        </w:rPr>
        <w:t>Support a single numerology for each band for 6G:</w:t>
      </w:r>
    </w:p>
    <w:p w14:paraId="152F8FED" w14:textId="77777777" w:rsidR="002B1A6D" w:rsidRDefault="00000000">
      <w:pPr>
        <w:overflowPunct/>
        <w:autoSpaceDE/>
        <w:autoSpaceDN/>
        <w:adjustRightInd/>
        <w:snapToGrid w:val="0"/>
        <w:spacing w:after="0"/>
        <w:ind w:left="363" w:firstLine="416"/>
        <w:textAlignment w:val="auto"/>
        <w:rPr>
          <w:rFonts w:eastAsia="Malgun Gothic" w:cs="Times"/>
          <w:b/>
          <w:i/>
          <w:iCs/>
          <w:lang w:eastAsia="zh-CN"/>
        </w:rPr>
      </w:pPr>
      <w:r>
        <w:rPr>
          <w:rFonts w:eastAsia="Malgun Gothic" w:cs="Times" w:hint="eastAsia"/>
          <w:b/>
          <w:i/>
          <w:iCs/>
          <w:lang w:eastAsia="zh-CN"/>
        </w:rPr>
        <w:t>For sub-6 GHz: 15 kHz SCS for FDD, 30 kHz SCS for TDD;</w:t>
      </w:r>
    </w:p>
    <w:p w14:paraId="5CB12939" w14:textId="77777777" w:rsidR="002B1A6D" w:rsidRDefault="00000000">
      <w:pPr>
        <w:spacing w:after="0"/>
        <w:ind w:firstLineChars="400" w:firstLine="803"/>
        <w:jc w:val="both"/>
        <w:rPr>
          <w:b/>
          <w:bCs/>
          <w:i/>
          <w:iCs/>
          <w:lang w:eastAsia="zh-CN"/>
        </w:rPr>
      </w:pPr>
      <w:r>
        <w:rPr>
          <w:rFonts w:hint="eastAsia"/>
          <w:b/>
          <w:bCs/>
          <w:i/>
          <w:iCs/>
          <w:lang w:eastAsia="zh-CN"/>
        </w:rPr>
        <w:t>For around 7 GHz: 30 kHz SCS is recommended, while 60 kHz SCS requires further evaluation</w:t>
      </w:r>
    </w:p>
    <w:p w14:paraId="13875D68" w14:textId="77777777" w:rsidR="002B1A6D" w:rsidRDefault="00000000">
      <w:pPr>
        <w:ind w:firstLineChars="400" w:firstLine="803"/>
        <w:jc w:val="both"/>
        <w:rPr>
          <w:b/>
          <w:bCs/>
          <w:i/>
          <w:iCs/>
          <w:lang w:eastAsia="zh-CN"/>
        </w:rPr>
      </w:pPr>
      <w:r>
        <w:rPr>
          <w:rFonts w:hint="eastAsia"/>
          <w:b/>
          <w:bCs/>
          <w:i/>
          <w:iCs/>
          <w:lang w:eastAsia="zh-CN"/>
        </w:rPr>
        <w:t>For FR2-1: 120 kHz SCS is supported.</w:t>
      </w:r>
    </w:p>
    <w:p w14:paraId="4B170F42" w14:textId="77777777" w:rsidR="002B1A6D" w:rsidRDefault="00000000">
      <w:pPr>
        <w:jc w:val="both"/>
        <w:rPr>
          <w:b/>
          <w:bCs/>
          <w:i/>
          <w:iCs/>
          <w:lang w:eastAsia="zh-CN"/>
        </w:rPr>
      </w:pPr>
      <w:r>
        <w:rPr>
          <w:rFonts w:hint="eastAsia"/>
          <w:b/>
          <w:bCs/>
          <w:i/>
          <w:iCs/>
          <w:lang w:eastAsia="zh-CN"/>
        </w:rPr>
        <w:t>Proposal 2: For communication channels and signals, 6GR considers supporting only the NCP and reusing the existing NCP length from NR.</w:t>
      </w:r>
    </w:p>
    <w:p w14:paraId="4EB144D2" w14:textId="77777777" w:rsidR="002B1A6D" w:rsidRDefault="00000000">
      <w:pPr>
        <w:spacing w:after="100"/>
        <w:jc w:val="both"/>
        <w:rPr>
          <w:b/>
          <w:bCs/>
          <w:i/>
          <w:iCs/>
          <w:lang w:eastAsia="zh-CN"/>
        </w:rPr>
      </w:pPr>
      <w:r>
        <w:rPr>
          <w:rFonts w:hint="eastAsia"/>
          <w:b/>
          <w:bCs/>
          <w:i/>
          <w:iCs/>
          <w:lang w:eastAsia="zh-CN"/>
        </w:rPr>
        <w:t>Proposal 3: 6GR should support a larger maximum channel bandwidth.</w:t>
      </w:r>
    </w:p>
    <w:p w14:paraId="01AA1112" w14:textId="77777777" w:rsidR="002B1A6D" w:rsidRDefault="00000000">
      <w:pPr>
        <w:numPr>
          <w:ilvl w:val="0"/>
          <w:numId w:val="5"/>
        </w:numPr>
        <w:overflowPunct/>
        <w:autoSpaceDE/>
        <w:autoSpaceDN/>
        <w:adjustRightInd/>
        <w:snapToGrid w:val="0"/>
        <w:spacing w:after="0" w:line="360" w:lineRule="auto"/>
        <w:ind w:left="726" w:hanging="363"/>
        <w:jc w:val="both"/>
        <w:textAlignment w:val="auto"/>
        <w:rPr>
          <w:b/>
          <w:bCs/>
          <w:i/>
          <w:iCs/>
          <w:lang w:eastAsia="zh-CN"/>
        </w:rPr>
      </w:pPr>
      <w:r>
        <w:rPr>
          <w:rFonts w:hint="eastAsia"/>
          <w:b/>
          <w:bCs/>
          <w:i/>
          <w:iCs/>
          <w:lang w:eastAsia="zh-CN"/>
        </w:rPr>
        <w:t>For sub-6 GHz:, support a 100MHz channel bandwidth for FDD. Simultaneously, support a 200MHz channel bandwidth for TDD.</w:t>
      </w:r>
    </w:p>
    <w:p w14:paraId="745D9EC7" w14:textId="77777777" w:rsidR="002B1A6D" w:rsidRDefault="00000000">
      <w:pPr>
        <w:numPr>
          <w:ilvl w:val="0"/>
          <w:numId w:val="5"/>
        </w:numPr>
        <w:overflowPunct/>
        <w:autoSpaceDE/>
        <w:autoSpaceDN/>
        <w:adjustRightInd/>
        <w:snapToGrid w:val="0"/>
        <w:spacing w:after="0" w:line="360" w:lineRule="auto"/>
        <w:ind w:left="726" w:hanging="363"/>
        <w:jc w:val="both"/>
        <w:textAlignment w:val="auto"/>
        <w:rPr>
          <w:b/>
          <w:bCs/>
          <w:i/>
          <w:iCs/>
          <w:lang w:eastAsia="zh-CN"/>
        </w:rPr>
      </w:pPr>
      <w:r>
        <w:rPr>
          <w:rFonts w:hint="eastAsia"/>
          <w:b/>
          <w:bCs/>
          <w:i/>
          <w:iCs/>
          <w:lang w:eastAsia="zh-CN"/>
        </w:rPr>
        <w:t>For around 7 GHz bands (including 6.425</w:t>
      </w:r>
      <w:r>
        <w:rPr>
          <w:rFonts w:hint="eastAsia"/>
          <w:b/>
          <w:bCs/>
          <w:i/>
          <w:iCs/>
          <w:lang w:eastAsia="zh-CN"/>
        </w:rPr>
        <w:t>–</w:t>
      </w:r>
      <w:r>
        <w:rPr>
          <w:rFonts w:hint="eastAsia"/>
          <w:b/>
          <w:bCs/>
          <w:i/>
          <w:iCs/>
          <w:lang w:eastAsia="zh-CN"/>
        </w:rPr>
        <w:t>7.125GHz), support at least 200MHz channel bandwidth. Given its spectral efficiency advantages, we recommend studying and supporting 400MHz as the maximum channel bandwidth option for these bands.</w:t>
      </w:r>
    </w:p>
    <w:p w14:paraId="46A11DD2" w14:textId="77777777" w:rsidR="002B1A6D" w:rsidRDefault="00000000">
      <w:pPr>
        <w:numPr>
          <w:ilvl w:val="0"/>
          <w:numId w:val="5"/>
        </w:numPr>
        <w:overflowPunct/>
        <w:autoSpaceDE/>
        <w:autoSpaceDN/>
        <w:adjustRightInd/>
        <w:snapToGrid w:val="0"/>
        <w:spacing w:line="360" w:lineRule="auto"/>
        <w:ind w:left="726" w:hanging="363"/>
        <w:jc w:val="both"/>
        <w:textAlignment w:val="auto"/>
        <w:rPr>
          <w:b/>
          <w:bCs/>
          <w:i/>
          <w:iCs/>
          <w:lang w:eastAsia="zh-CN"/>
        </w:rPr>
      </w:pPr>
      <w:r>
        <w:rPr>
          <w:rFonts w:hint="eastAsia"/>
          <w:b/>
          <w:bCs/>
          <w:i/>
          <w:iCs/>
          <w:lang w:eastAsia="zh-CN"/>
        </w:rPr>
        <w:t xml:space="preserve">For the FR2-1 bands, support at least 400MHz channel bandwidth. </w:t>
      </w:r>
    </w:p>
    <w:p w14:paraId="2E01EB77" w14:textId="77777777" w:rsidR="002B1A6D" w:rsidRDefault="00000000">
      <w:pPr>
        <w:jc w:val="both"/>
        <w:rPr>
          <w:b/>
          <w:bCs/>
          <w:i/>
          <w:iCs/>
          <w:lang w:eastAsia="zh-CN"/>
        </w:rPr>
      </w:pPr>
      <w:r>
        <w:rPr>
          <w:rFonts w:hint="eastAsia"/>
          <w:b/>
          <w:bCs/>
          <w:i/>
          <w:iCs/>
          <w:lang w:eastAsia="zh-CN"/>
        </w:rPr>
        <w:t>Proposal 4: 6GR should support at least an 8k FFT size, with further consideration to support a 16k FFT size.</w:t>
      </w:r>
    </w:p>
    <w:p w14:paraId="1AB2F678" w14:textId="77777777" w:rsidR="002B1A6D" w:rsidRDefault="00000000">
      <w:pPr>
        <w:jc w:val="both"/>
        <w:rPr>
          <w:b/>
          <w:bCs/>
          <w:i/>
          <w:iCs/>
          <w:lang w:eastAsia="zh-CN"/>
        </w:rPr>
      </w:pPr>
      <w:r>
        <w:rPr>
          <w:rFonts w:hint="eastAsia"/>
          <w:b/>
          <w:bCs/>
          <w:i/>
          <w:iCs/>
          <w:lang w:eastAsia="zh-CN"/>
        </w:rPr>
        <w:t>Proposal 5: Reuse 5G frame structure as starting point.</w:t>
      </w:r>
    </w:p>
    <w:p w14:paraId="5EA622F2" w14:textId="77777777" w:rsidR="002B1A6D" w:rsidRDefault="00000000">
      <w:pPr>
        <w:spacing w:after="100"/>
        <w:jc w:val="both"/>
        <w:rPr>
          <w:b/>
          <w:bCs/>
          <w:i/>
          <w:iCs/>
          <w:lang w:eastAsia="zh-CN"/>
        </w:rPr>
      </w:pPr>
      <w:r>
        <w:rPr>
          <w:rFonts w:hint="eastAsia"/>
          <w:b/>
          <w:bCs/>
          <w:i/>
          <w:iCs/>
          <w:lang w:eastAsia="zh-CN"/>
        </w:rPr>
        <w:t xml:space="preserve">Proposal 6: Slot consisting of 14 symbols is considered as starting point. </w:t>
      </w:r>
    </w:p>
    <w:p w14:paraId="26979773" w14:textId="77777777" w:rsidR="002B1A6D" w:rsidRDefault="00000000">
      <w:pPr>
        <w:numPr>
          <w:ilvl w:val="0"/>
          <w:numId w:val="5"/>
        </w:numPr>
        <w:overflowPunct/>
        <w:autoSpaceDE/>
        <w:autoSpaceDN/>
        <w:adjustRightInd/>
        <w:snapToGrid w:val="0"/>
        <w:spacing w:after="0" w:line="360" w:lineRule="auto"/>
        <w:ind w:left="726" w:hanging="363"/>
        <w:textAlignment w:val="auto"/>
        <w:rPr>
          <w:b/>
          <w:bCs/>
          <w:i/>
          <w:iCs/>
          <w:lang w:eastAsia="zh-CN"/>
        </w:rPr>
      </w:pPr>
      <w:r>
        <w:rPr>
          <w:rFonts w:hint="eastAsia"/>
          <w:b/>
          <w:bCs/>
          <w:i/>
          <w:iCs/>
          <w:lang w:eastAsia="zh-CN"/>
        </w:rPr>
        <w:t>FFS for flexible scheduling, support symbol-level resource allocation and configuration, as well as allowing PxSCH to cross slot boundaries. This allocation can start at any symbol within a slot.</w:t>
      </w:r>
    </w:p>
    <w:p w14:paraId="2099E215" w14:textId="77777777" w:rsidR="002B1A6D" w:rsidRDefault="00000000">
      <w:pPr>
        <w:spacing w:before="180" w:after="100"/>
        <w:jc w:val="both"/>
        <w:rPr>
          <w:b/>
          <w:bCs/>
          <w:i/>
          <w:iCs/>
          <w:lang w:eastAsia="zh-CN"/>
        </w:rPr>
      </w:pPr>
      <w:r>
        <w:rPr>
          <w:b/>
          <w:bCs/>
          <w:i/>
          <w:iCs/>
          <w:lang w:eastAsia="zh-CN"/>
        </w:rPr>
        <w:lastRenderedPageBreak/>
        <w:t>Proposal</w:t>
      </w:r>
      <w:r>
        <w:rPr>
          <w:rFonts w:hint="eastAsia"/>
          <w:b/>
          <w:bCs/>
          <w:i/>
          <w:iCs/>
          <w:lang w:eastAsia="zh-CN"/>
        </w:rPr>
        <w:t xml:space="preserve"> 7</w:t>
      </w:r>
      <w:r>
        <w:rPr>
          <w:b/>
          <w:bCs/>
          <w:i/>
          <w:iCs/>
          <w:lang w:eastAsia="zh-CN"/>
        </w:rPr>
        <w:t>: Retain the definitions of downlink symbols, uplink symbols, and flexible symbols from 5G. And natively support SBFD in 6G Day-1.</w:t>
      </w:r>
    </w:p>
    <w:p w14:paraId="4A830829" w14:textId="77777777" w:rsidR="002B1A6D" w:rsidRDefault="00000000">
      <w:pPr>
        <w:numPr>
          <w:ilvl w:val="0"/>
          <w:numId w:val="5"/>
        </w:numPr>
        <w:overflowPunct/>
        <w:autoSpaceDE/>
        <w:autoSpaceDN/>
        <w:adjustRightInd/>
        <w:snapToGrid w:val="0"/>
        <w:spacing w:after="0" w:line="360" w:lineRule="auto"/>
        <w:ind w:left="726" w:hanging="363"/>
        <w:textAlignment w:val="auto"/>
        <w:rPr>
          <w:b/>
          <w:bCs/>
          <w:i/>
          <w:iCs/>
          <w:lang w:eastAsia="zh-CN"/>
        </w:rPr>
      </w:pPr>
      <w:r>
        <w:rPr>
          <w:b/>
          <w:bCs/>
          <w:i/>
          <w:iCs/>
          <w:lang w:eastAsia="zh-CN"/>
        </w:rPr>
        <w:t>FFS for a new symbol type of SBFD</w:t>
      </w:r>
      <w:r>
        <w:rPr>
          <w:rFonts w:hint="eastAsia"/>
          <w:b/>
          <w:bCs/>
          <w:i/>
          <w:iCs/>
          <w:lang w:eastAsia="zh-CN"/>
        </w:rPr>
        <w:t>.</w:t>
      </w:r>
    </w:p>
    <w:p w14:paraId="1FDCE024" w14:textId="77777777" w:rsidR="002B1A6D" w:rsidRDefault="00000000">
      <w:pPr>
        <w:spacing w:before="180" w:after="100"/>
        <w:jc w:val="both"/>
        <w:rPr>
          <w:b/>
          <w:bCs/>
          <w:i/>
          <w:iCs/>
          <w:lang w:eastAsia="zh-CN"/>
        </w:rPr>
      </w:pPr>
      <w:r>
        <w:rPr>
          <w:rFonts w:hint="eastAsia"/>
          <w:b/>
          <w:bCs/>
          <w:i/>
          <w:iCs/>
          <w:lang w:eastAsia="zh-CN"/>
        </w:rPr>
        <w:t>Proposal 8</w:t>
      </w:r>
      <w:r>
        <w:rPr>
          <w:rFonts w:hint="eastAsia"/>
          <w:b/>
          <w:bCs/>
          <w:i/>
          <w:iCs/>
          <w:lang w:eastAsia="zh-CN"/>
        </w:rPr>
        <w:t>：</w:t>
      </w:r>
      <w:r>
        <w:rPr>
          <w:rFonts w:hint="eastAsia"/>
          <w:b/>
          <w:bCs/>
          <w:i/>
          <w:iCs/>
          <w:lang w:eastAsia="zh-CN"/>
        </w:rPr>
        <w:t>Reuse the baseline frame structure for 6G Sensing as a starting point for study.</w:t>
      </w:r>
    </w:p>
    <w:p w14:paraId="778F9759" w14:textId="77777777" w:rsidR="002B1A6D" w:rsidRDefault="00000000">
      <w:pPr>
        <w:numPr>
          <w:ilvl w:val="0"/>
          <w:numId w:val="5"/>
        </w:numPr>
        <w:overflowPunct/>
        <w:autoSpaceDE/>
        <w:autoSpaceDN/>
        <w:adjustRightInd/>
        <w:snapToGrid w:val="0"/>
        <w:spacing w:after="0" w:line="360" w:lineRule="auto"/>
        <w:ind w:left="726" w:hanging="363"/>
        <w:textAlignment w:val="auto"/>
        <w:rPr>
          <w:b/>
          <w:bCs/>
          <w:i/>
          <w:iCs/>
          <w:lang w:eastAsia="zh-CN"/>
        </w:rPr>
      </w:pPr>
      <w:r>
        <w:rPr>
          <w:rFonts w:hint="eastAsia"/>
          <w:b/>
          <w:bCs/>
          <w:i/>
          <w:iCs/>
          <w:lang w:eastAsia="zh-CN"/>
        </w:rPr>
        <w:t>FFS for the introduction of dedicated ISAC symbol or symbol structure.</w:t>
      </w:r>
    </w:p>
    <w:p w14:paraId="5AAE1C1B" w14:textId="77777777" w:rsidR="002B1A6D" w:rsidRDefault="00000000">
      <w:pPr>
        <w:spacing w:before="180" w:after="100"/>
        <w:jc w:val="both"/>
        <w:rPr>
          <w:b/>
          <w:bCs/>
          <w:i/>
          <w:iCs/>
          <w:lang w:eastAsia="zh-CN"/>
        </w:rPr>
      </w:pPr>
      <w:r>
        <w:rPr>
          <w:b/>
          <w:bCs/>
          <w:i/>
          <w:iCs/>
          <w:lang w:eastAsia="zh-CN"/>
        </w:rPr>
        <w:t xml:space="preserve">Proposal </w:t>
      </w:r>
      <w:r>
        <w:rPr>
          <w:rFonts w:hint="eastAsia"/>
          <w:b/>
          <w:bCs/>
          <w:i/>
          <w:iCs/>
          <w:lang w:eastAsia="zh-CN"/>
        </w:rPr>
        <w:t>9</w:t>
      </w:r>
      <w:r>
        <w:rPr>
          <w:b/>
          <w:bCs/>
          <w:i/>
          <w:iCs/>
          <w:lang w:eastAsia="zh-CN"/>
        </w:rPr>
        <w:t>:</w:t>
      </w:r>
      <w:r>
        <w:rPr>
          <w:rFonts w:hint="eastAsia"/>
          <w:b/>
          <w:bCs/>
          <w:i/>
          <w:iCs/>
          <w:lang w:eastAsia="zh-CN"/>
        </w:rPr>
        <w:t xml:space="preserve"> </w:t>
      </w:r>
      <w:r>
        <w:rPr>
          <w:b/>
          <w:bCs/>
          <w:i/>
          <w:iCs/>
          <w:lang w:eastAsia="zh-CN"/>
        </w:rPr>
        <w:t>6GR sh</w:t>
      </w:r>
      <w:r>
        <w:rPr>
          <w:rFonts w:hint="eastAsia"/>
          <w:b/>
          <w:bCs/>
          <w:i/>
          <w:iCs/>
          <w:lang w:eastAsia="zh-CN"/>
        </w:rPr>
        <w:t>ould</w:t>
      </w:r>
      <w:r>
        <w:rPr>
          <w:b/>
          <w:bCs/>
          <w:i/>
          <w:iCs/>
          <w:lang w:eastAsia="zh-CN"/>
        </w:rPr>
        <w:t xml:space="preserve"> support TDD, FDD, and </w:t>
      </w:r>
      <w:r>
        <w:rPr>
          <w:rFonts w:hint="eastAsia"/>
          <w:b/>
          <w:bCs/>
          <w:i/>
          <w:iCs/>
          <w:lang w:eastAsia="zh-CN"/>
        </w:rPr>
        <w:t>c</w:t>
      </w:r>
      <w:r>
        <w:rPr>
          <w:b/>
          <w:bCs/>
          <w:i/>
          <w:iCs/>
          <w:lang w:eastAsia="zh-CN"/>
        </w:rPr>
        <w:t>ell</w:t>
      </w:r>
      <w:r>
        <w:rPr>
          <w:rFonts w:hint="eastAsia"/>
          <w:b/>
          <w:bCs/>
          <w:i/>
          <w:iCs/>
          <w:lang w:eastAsia="zh-CN"/>
        </w:rPr>
        <w:t>-</w:t>
      </w:r>
      <w:r>
        <w:rPr>
          <w:b/>
          <w:bCs/>
          <w:i/>
          <w:iCs/>
          <w:lang w:eastAsia="zh-CN"/>
        </w:rPr>
        <w:t>specific SBFD as the starting point, and study the unified frame structure design for various duplex types.</w:t>
      </w:r>
    </w:p>
    <w:p w14:paraId="64790B80" w14:textId="77777777" w:rsidR="002B1A6D" w:rsidRDefault="00000000">
      <w:pPr>
        <w:numPr>
          <w:ilvl w:val="0"/>
          <w:numId w:val="5"/>
        </w:numPr>
        <w:overflowPunct/>
        <w:autoSpaceDE/>
        <w:autoSpaceDN/>
        <w:adjustRightInd/>
        <w:snapToGrid w:val="0"/>
        <w:spacing w:after="0" w:line="360" w:lineRule="auto"/>
        <w:ind w:left="726" w:hanging="363"/>
        <w:textAlignment w:val="auto"/>
        <w:rPr>
          <w:rFonts w:eastAsia="Malgun Gothic" w:cs="Times"/>
          <w:b/>
          <w:i/>
          <w:iCs/>
          <w:lang w:eastAsia="zh-CN"/>
        </w:rPr>
      </w:pPr>
      <w:r>
        <w:rPr>
          <w:b/>
          <w:bCs/>
          <w:i/>
          <w:iCs/>
          <w:lang w:eastAsia="zh-CN"/>
        </w:rPr>
        <w:t>FFS for dynamic SBFD and dynamic TDD</w:t>
      </w:r>
    </w:p>
    <w:p w14:paraId="12BB2996" w14:textId="77777777" w:rsidR="002B1A6D" w:rsidRDefault="00000000">
      <w:pPr>
        <w:pStyle w:val="1"/>
        <w:rPr>
          <w:rFonts w:eastAsiaTheme="minorEastAsia"/>
          <w:lang w:val="en-US" w:eastAsia="zh-CN"/>
        </w:rPr>
      </w:pPr>
      <w:r>
        <w:rPr>
          <w:rFonts w:eastAsiaTheme="minorEastAsia" w:hint="eastAsia"/>
          <w:lang w:val="en-US" w:eastAsia="zh-CN"/>
        </w:rPr>
        <w:t>Reference</w:t>
      </w:r>
    </w:p>
    <w:p w14:paraId="31370B2D" w14:textId="77777777" w:rsidR="002B1A6D" w:rsidRDefault="00000000">
      <w:pPr>
        <w:numPr>
          <w:ilvl w:val="0"/>
          <w:numId w:val="6"/>
        </w:numPr>
        <w:overflowPunct/>
        <w:autoSpaceDE/>
        <w:autoSpaceDN/>
        <w:adjustRightInd/>
        <w:spacing w:before="180" w:after="0"/>
        <w:jc w:val="both"/>
        <w:textAlignment w:val="auto"/>
        <w:rPr>
          <w:lang w:eastAsia="zh-CN"/>
        </w:rPr>
      </w:pPr>
      <w:r>
        <w:rPr>
          <w:lang w:eastAsia="zh-CN"/>
        </w:rPr>
        <w:t>RP-25</w:t>
      </w:r>
      <w:r>
        <w:rPr>
          <w:rFonts w:hint="eastAsia"/>
          <w:lang w:eastAsia="ja-JP"/>
        </w:rPr>
        <w:t>1881</w:t>
      </w:r>
      <w:r>
        <w:rPr>
          <w:rFonts w:hint="eastAsia"/>
          <w:lang w:eastAsia="zh-CN"/>
        </w:rPr>
        <w:t>,</w:t>
      </w:r>
      <w:r>
        <w:rPr>
          <w:lang w:eastAsia="zh-CN"/>
        </w:rPr>
        <w:t xml:space="preserve"> New SID: Study on 6G Radio, </w:t>
      </w:r>
      <w:r>
        <w:rPr>
          <w:rFonts w:hint="eastAsia"/>
          <w:lang w:eastAsia="ja-JP"/>
        </w:rPr>
        <w:t>NTT DOCOMO (Moderator</w:t>
      </w:r>
      <w:r>
        <w:rPr>
          <w:rFonts w:hint="eastAsia"/>
          <w:lang w:eastAsia="zh-CN"/>
        </w:rPr>
        <w:t>)</w:t>
      </w:r>
      <w:r>
        <w:rPr>
          <w:lang w:eastAsia="zh-CN"/>
        </w:rPr>
        <w:t>, 3GPP TSG RAN #10</w:t>
      </w:r>
      <w:r>
        <w:rPr>
          <w:rFonts w:hint="eastAsia"/>
          <w:lang w:eastAsia="zh-CN"/>
        </w:rPr>
        <w:t>8</w:t>
      </w:r>
      <w:r>
        <w:rPr>
          <w:lang w:eastAsia="zh-CN"/>
        </w:rPr>
        <w:t>, Prague, Czech Republic, June 9-13, 2025</w:t>
      </w:r>
      <w:r>
        <w:rPr>
          <w:rFonts w:hint="eastAsia"/>
          <w:lang w:eastAsia="zh-CN"/>
        </w:rPr>
        <w:t>.</w:t>
      </w:r>
    </w:p>
    <w:p w14:paraId="27B49338" w14:textId="77777777" w:rsidR="002B1A6D" w:rsidRDefault="00000000">
      <w:pPr>
        <w:pStyle w:val="a6"/>
        <w:numPr>
          <w:ilvl w:val="0"/>
          <w:numId w:val="6"/>
        </w:numPr>
        <w:tabs>
          <w:tab w:val="left" w:pos="420"/>
        </w:tabs>
        <w:snapToGrid w:val="0"/>
        <w:spacing w:before="156" w:line="268" w:lineRule="auto"/>
        <w:contextualSpacing/>
        <w:rPr>
          <w:rFonts w:eastAsiaTheme="minorEastAsia"/>
          <w:color w:val="000000"/>
          <w:lang w:eastAsia="zh-CN"/>
        </w:rPr>
      </w:pPr>
      <w:r>
        <w:rPr>
          <w:rFonts w:eastAsiaTheme="minorEastAsia"/>
          <w:color w:val="000000"/>
          <w:lang w:eastAsia="zh-CN"/>
        </w:rPr>
        <w:t>Final Report of 3GPP TSG RAN WG1 #1</w:t>
      </w:r>
      <w:r>
        <w:rPr>
          <w:rFonts w:eastAsiaTheme="minorEastAsia" w:hint="eastAsia"/>
          <w:color w:val="000000"/>
          <w:lang w:val="en-US" w:eastAsia="zh-CN"/>
        </w:rPr>
        <w:t>22</w:t>
      </w:r>
      <w:r>
        <w:rPr>
          <w:rFonts w:eastAsiaTheme="minorEastAsia"/>
          <w:color w:val="000000"/>
          <w:lang w:eastAsia="zh-CN"/>
        </w:rPr>
        <w:t xml:space="preserve"> v1.0.0</w:t>
      </w:r>
      <w:r>
        <w:rPr>
          <w:rFonts w:eastAsiaTheme="minorEastAsia" w:hint="eastAsia"/>
          <w:color w:val="000000"/>
          <w:lang w:eastAsia="zh-CN"/>
        </w:rPr>
        <w:t>,</w:t>
      </w:r>
      <w:r>
        <w:rPr>
          <w:rFonts w:eastAsiaTheme="minorEastAsia"/>
          <w:color w:val="000000"/>
          <w:lang w:eastAsia="zh-CN"/>
        </w:rPr>
        <w:t xml:space="preserve"> (Bengaluru, </w:t>
      </w:r>
      <w:r>
        <w:rPr>
          <w:rFonts w:eastAsiaTheme="minorEastAsia" w:hint="eastAsia"/>
          <w:color w:val="000000"/>
          <w:lang w:eastAsia="zh-CN"/>
        </w:rPr>
        <w:t>India</w:t>
      </w:r>
      <w:r>
        <w:rPr>
          <w:rFonts w:eastAsiaTheme="minorEastAsia"/>
          <w:color w:val="000000"/>
          <w:lang w:eastAsia="zh-CN"/>
        </w:rPr>
        <w:t xml:space="preserve">, </w:t>
      </w:r>
      <w:r>
        <w:rPr>
          <w:rFonts w:eastAsiaTheme="minorEastAsia" w:hint="eastAsia"/>
          <w:color w:val="000000"/>
          <w:lang w:val="en-US" w:eastAsia="zh-CN"/>
        </w:rPr>
        <w:t>August</w:t>
      </w:r>
      <w:r>
        <w:rPr>
          <w:rFonts w:eastAsiaTheme="minorEastAsia"/>
          <w:color w:val="000000"/>
          <w:lang w:eastAsia="zh-CN"/>
        </w:rPr>
        <w:t xml:space="preserve"> 2</w:t>
      </w:r>
      <w:r>
        <w:rPr>
          <w:rFonts w:eastAsiaTheme="minorEastAsia" w:hint="eastAsia"/>
          <w:color w:val="000000"/>
          <w:lang w:val="en-US" w:eastAsia="zh-CN"/>
        </w:rPr>
        <w:t>5</w:t>
      </w:r>
      <w:r>
        <w:rPr>
          <w:rFonts w:eastAsiaTheme="minorEastAsia"/>
          <w:color w:val="000000"/>
          <w:lang w:eastAsia="zh-CN"/>
        </w:rPr>
        <w:t xml:space="preserve"> - </w:t>
      </w:r>
      <w:r>
        <w:rPr>
          <w:rFonts w:eastAsiaTheme="minorEastAsia" w:hint="eastAsia"/>
          <w:color w:val="000000"/>
          <w:lang w:val="en-US" w:eastAsia="zh-CN"/>
        </w:rPr>
        <w:t>August</w:t>
      </w:r>
      <w:r>
        <w:rPr>
          <w:rFonts w:eastAsiaTheme="minorEastAsia"/>
          <w:color w:val="000000"/>
          <w:lang w:eastAsia="zh-CN"/>
        </w:rPr>
        <w:t xml:space="preserve"> </w:t>
      </w:r>
      <w:r>
        <w:rPr>
          <w:rFonts w:eastAsiaTheme="minorEastAsia" w:hint="eastAsia"/>
          <w:color w:val="000000"/>
          <w:lang w:val="en-US" w:eastAsia="zh-CN"/>
        </w:rPr>
        <w:t>29</w:t>
      </w:r>
      <w:r>
        <w:rPr>
          <w:rFonts w:eastAsiaTheme="minorEastAsia"/>
          <w:color w:val="000000"/>
          <w:lang w:eastAsia="zh-CN"/>
        </w:rPr>
        <w:t>, 202</w:t>
      </w:r>
      <w:r>
        <w:rPr>
          <w:rFonts w:eastAsiaTheme="minorEastAsia" w:hint="eastAsia"/>
          <w:color w:val="000000"/>
          <w:lang w:val="en-US" w:eastAsia="zh-CN"/>
        </w:rPr>
        <w:t>5</w:t>
      </w:r>
      <w:r>
        <w:rPr>
          <w:rFonts w:eastAsiaTheme="minorEastAsia"/>
          <w:color w:val="000000"/>
          <w:lang w:eastAsia="zh-CN"/>
        </w:rPr>
        <w:t>)</w:t>
      </w:r>
    </w:p>
    <w:p w14:paraId="558084F6" w14:textId="77777777" w:rsidR="002B1A6D" w:rsidRDefault="002B1A6D">
      <w:pPr>
        <w:overflowPunct/>
        <w:autoSpaceDE/>
        <w:autoSpaceDN/>
        <w:adjustRightInd/>
        <w:spacing w:before="180" w:after="0"/>
        <w:jc w:val="both"/>
        <w:textAlignment w:val="auto"/>
        <w:rPr>
          <w:lang w:eastAsia="zh-CN"/>
        </w:rPr>
      </w:pPr>
    </w:p>
    <w:sectPr w:rsidR="002B1A6D">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09350" w14:textId="77777777" w:rsidR="0055585D" w:rsidRDefault="0055585D">
      <w:pPr>
        <w:spacing w:after="0"/>
      </w:pPr>
      <w:r>
        <w:separator/>
      </w:r>
    </w:p>
  </w:endnote>
  <w:endnote w:type="continuationSeparator" w:id="0">
    <w:p w14:paraId="6E2A5116" w14:textId="77777777" w:rsidR="0055585D" w:rsidRDefault="005558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0E216" w14:textId="77777777" w:rsidR="0055585D" w:rsidRDefault="0055585D">
      <w:pPr>
        <w:spacing w:after="0"/>
      </w:pPr>
      <w:r>
        <w:separator/>
      </w:r>
    </w:p>
  </w:footnote>
  <w:footnote w:type="continuationSeparator" w:id="0">
    <w:p w14:paraId="6282FE50" w14:textId="77777777" w:rsidR="0055585D" w:rsidRDefault="0055585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C78ED"/>
    <w:multiLevelType w:val="multilevel"/>
    <w:tmpl w:val="09DC78ED"/>
    <w:lvl w:ilvl="0">
      <w:numFmt w:val="bullet"/>
      <w:lvlText w:val="-"/>
      <w:lvlJc w:val="left"/>
      <w:pPr>
        <w:tabs>
          <w:tab w:val="left" w:pos="-840"/>
        </w:tabs>
        <w:ind w:left="-400" w:hanging="440"/>
      </w:pPr>
      <w:rPr>
        <w:rFonts w:ascii="Times" w:eastAsia="等线" w:hAnsi="Times" w:cs="Times" w:hint="default"/>
        <w:u w:val="none"/>
      </w:rPr>
    </w:lvl>
    <w:lvl w:ilvl="1">
      <w:start w:val="1"/>
      <w:numFmt w:val="bullet"/>
      <w:lvlText w:val="o"/>
      <w:lvlJc w:val="left"/>
      <w:pPr>
        <w:tabs>
          <w:tab w:val="left" w:pos="-840"/>
        </w:tabs>
        <w:ind w:left="40" w:hanging="440"/>
      </w:pPr>
      <w:rPr>
        <w:rFonts w:ascii="Courier New" w:eastAsia="宋体" w:hAnsi="Courier New" w:cs="Courier New" w:hint="default"/>
        <w:u w:val="none"/>
      </w:rPr>
    </w:lvl>
    <w:lvl w:ilvl="2">
      <w:start w:val="1"/>
      <w:numFmt w:val="bullet"/>
      <w:lvlText w:val="o"/>
      <w:lvlJc w:val="left"/>
      <w:pPr>
        <w:tabs>
          <w:tab w:val="left" w:pos="-840"/>
        </w:tabs>
        <w:ind w:left="480" w:hanging="440"/>
      </w:pPr>
      <w:rPr>
        <w:rFonts w:ascii="Courier New" w:eastAsia="宋体" w:hAnsi="Courier New" w:cs="Courier New" w:hint="default"/>
        <w:u w:val="none"/>
      </w:rPr>
    </w:lvl>
    <w:lvl w:ilvl="3">
      <w:start w:val="1"/>
      <w:numFmt w:val="bullet"/>
      <w:lvlText w:val="o"/>
      <w:lvlJc w:val="left"/>
      <w:pPr>
        <w:tabs>
          <w:tab w:val="left" w:pos="-840"/>
        </w:tabs>
        <w:ind w:left="920" w:hanging="440"/>
      </w:pPr>
      <w:rPr>
        <w:rFonts w:ascii="Courier New" w:eastAsia="宋体" w:hAnsi="Courier New" w:cs="Courier New" w:hint="default"/>
        <w:u w:val="none"/>
      </w:rPr>
    </w:lvl>
    <w:lvl w:ilvl="4">
      <w:start w:val="1"/>
      <w:numFmt w:val="bullet"/>
      <w:lvlText w:val="o"/>
      <w:lvlJc w:val="left"/>
      <w:pPr>
        <w:tabs>
          <w:tab w:val="left" w:pos="-840"/>
        </w:tabs>
        <w:ind w:left="1360" w:hanging="440"/>
      </w:pPr>
      <w:rPr>
        <w:rFonts w:ascii="Courier New" w:eastAsia="宋体" w:hAnsi="Courier New" w:cs="Courier New" w:hint="default"/>
        <w:u w:val="none"/>
      </w:rPr>
    </w:lvl>
    <w:lvl w:ilvl="5">
      <w:start w:val="1"/>
      <w:numFmt w:val="bullet"/>
      <w:lvlText w:val=""/>
      <w:lvlJc w:val="left"/>
      <w:pPr>
        <w:tabs>
          <w:tab w:val="left" w:pos="-840"/>
        </w:tabs>
        <w:ind w:left="1800" w:hanging="440"/>
      </w:pPr>
      <w:rPr>
        <w:rFonts w:ascii="Wingdings" w:eastAsia="宋体" w:hAnsi="Wingdings" w:hint="default"/>
        <w:u w:val="none"/>
      </w:rPr>
    </w:lvl>
    <w:lvl w:ilvl="6">
      <w:start w:val="1"/>
      <w:numFmt w:val="bullet"/>
      <w:lvlText w:val=""/>
      <w:lvlJc w:val="left"/>
      <w:pPr>
        <w:tabs>
          <w:tab w:val="left" w:pos="-840"/>
        </w:tabs>
        <w:ind w:left="2240" w:hanging="440"/>
      </w:pPr>
      <w:rPr>
        <w:rFonts w:ascii="Wingdings" w:eastAsia="宋体" w:hAnsi="Wingdings" w:hint="default"/>
        <w:u w:val="none"/>
      </w:rPr>
    </w:lvl>
    <w:lvl w:ilvl="7">
      <w:start w:val="1"/>
      <w:numFmt w:val="bullet"/>
      <w:lvlText w:val=""/>
      <w:lvlJc w:val="left"/>
      <w:pPr>
        <w:tabs>
          <w:tab w:val="left" w:pos="-840"/>
        </w:tabs>
        <w:ind w:left="2680" w:hanging="440"/>
      </w:pPr>
      <w:rPr>
        <w:rFonts w:ascii="Wingdings" w:eastAsia="宋体" w:hAnsi="Wingdings" w:hint="default"/>
        <w:u w:val="none"/>
      </w:rPr>
    </w:lvl>
    <w:lvl w:ilvl="8">
      <w:start w:val="1"/>
      <w:numFmt w:val="bullet"/>
      <w:lvlText w:val=""/>
      <w:lvlJc w:val="left"/>
      <w:pPr>
        <w:tabs>
          <w:tab w:val="left" w:pos="-840"/>
        </w:tabs>
        <w:ind w:left="3120" w:hanging="440"/>
      </w:pPr>
      <w:rPr>
        <w:rFonts w:ascii="Wingdings" w:eastAsia="宋体" w:hAnsi="Wingdings" w:hint="default"/>
        <w:u w:val="none"/>
      </w:rPr>
    </w:lvl>
  </w:abstractNum>
  <w:abstractNum w:abstractNumId="1" w15:restartNumberingAfterBreak="0">
    <w:nsid w:val="26901125"/>
    <w:multiLevelType w:val="multilevel"/>
    <w:tmpl w:val="26901125"/>
    <w:lvl w:ilvl="0">
      <w:start w:val="1"/>
      <w:numFmt w:val="decimal"/>
      <w:pStyle w:val="1"/>
      <w:lvlText w:val="%1     "/>
      <w:lvlJc w:val="left"/>
      <w:pPr>
        <w:ind w:left="3823" w:hanging="420"/>
      </w:pPr>
      <w:rPr>
        <w:rFonts w:ascii="Arial" w:hAnsi="Arial" w:cs="Arial" w:hint="default"/>
        <w:sz w:val="36"/>
        <w:lang w:val="en-US"/>
      </w:rPr>
    </w:lvl>
    <w:lvl w:ilvl="1">
      <w:start w:val="1"/>
      <w:numFmt w:val="decimal"/>
      <w:pStyle w:val="2"/>
      <w:lvlText w:val="%1.%2    "/>
      <w:lvlJc w:val="left"/>
      <w:pPr>
        <w:ind w:left="6794"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561660B3"/>
    <w:multiLevelType w:val="multilevel"/>
    <w:tmpl w:val="561660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03513897">
    <w:abstractNumId w:val="1"/>
  </w:num>
  <w:num w:numId="2" w16cid:durableId="1406607411">
    <w:abstractNumId w:val="2"/>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53079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72434664">
    <w:abstractNumId w:val="0"/>
  </w:num>
  <w:num w:numId="5" w16cid:durableId="1359552466">
    <w:abstractNumId w:val="3"/>
  </w:num>
  <w:num w:numId="6" w16cid:durableId="12025963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35E45262"/>
    <w:rsid w:val="0001353E"/>
    <w:rsid w:val="00057FDD"/>
    <w:rsid w:val="000664B0"/>
    <w:rsid w:val="00077DA5"/>
    <w:rsid w:val="000D2DA1"/>
    <w:rsid w:val="001B1940"/>
    <w:rsid w:val="00256B81"/>
    <w:rsid w:val="002B1A6D"/>
    <w:rsid w:val="00383EBA"/>
    <w:rsid w:val="003E1967"/>
    <w:rsid w:val="004154B4"/>
    <w:rsid w:val="00422915"/>
    <w:rsid w:val="00486672"/>
    <w:rsid w:val="004E36F8"/>
    <w:rsid w:val="004F42EB"/>
    <w:rsid w:val="005235A9"/>
    <w:rsid w:val="0055428F"/>
    <w:rsid w:val="0055585D"/>
    <w:rsid w:val="0059114F"/>
    <w:rsid w:val="005A4363"/>
    <w:rsid w:val="005B7172"/>
    <w:rsid w:val="00636E80"/>
    <w:rsid w:val="006724C5"/>
    <w:rsid w:val="006E20B4"/>
    <w:rsid w:val="00725036"/>
    <w:rsid w:val="00800E1D"/>
    <w:rsid w:val="00802552"/>
    <w:rsid w:val="0082658C"/>
    <w:rsid w:val="008949D0"/>
    <w:rsid w:val="00910C94"/>
    <w:rsid w:val="00943C21"/>
    <w:rsid w:val="009839F2"/>
    <w:rsid w:val="009907C5"/>
    <w:rsid w:val="009D163D"/>
    <w:rsid w:val="009D332C"/>
    <w:rsid w:val="009E37BB"/>
    <w:rsid w:val="00A035D1"/>
    <w:rsid w:val="00A215B4"/>
    <w:rsid w:val="00A77471"/>
    <w:rsid w:val="00B40654"/>
    <w:rsid w:val="00B8495A"/>
    <w:rsid w:val="00BB32BC"/>
    <w:rsid w:val="00C82D11"/>
    <w:rsid w:val="00D2076F"/>
    <w:rsid w:val="00D8125C"/>
    <w:rsid w:val="00D9132F"/>
    <w:rsid w:val="00DB5D28"/>
    <w:rsid w:val="00E0577C"/>
    <w:rsid w:val="00EB1D38"/>
    <w:rsid w:val="00F200DE"/>
    <w:rsid w:val="00F21458"/>
    <w:rsid w:val="00F5673E"/>
    <w:rsid w:val="01483505"/>
    <w:rsid w:val="01CE57B8"/>
    <w:rsid w:val="020E3E06"/>
    <w:rsid w:val="024261A6"/>
    <w:rsid w:val="03011BBD"/>
    <w:rsid w:val="036B5288"/>
    <w:rsid w:val="03B60BF9"/>
    <w:rsid w:val="03C350C4"/>
    <w:rsid w:val="0405748B"/>
    <w:rsid w:val="05966710"/>
    <w:rsid w:val="05A36F5B"/>
    <w:rsid w:val="06473D8B"/>
    <w:rsid w:val="08BD6586"/>
    <w:rsid w:val="09A908B8"/>
    <w:rsid w:val="0A300BE3"/>
    <w:rsid w:val="0A6A629A"/>
    <w:rsid w:val="0ADB7197"/>
    <w:rsid w:val="0BB60393"/>
    <w:rsid w:val="0C4A1EDF"/>
    <w:rsid w:val="0C760F26"/>
    <w:rsid w:val="0C774C9E"/>
    <w:rsid w:val="0D576FA9"/>
    <w:rsid w:val="0D8301BA"/>
    <w:rsid w:val="0DE15FD5"/>
    <w:rsid w:val="0E7232AC"/>
    <w:rsid w:val="0F3E624B"/>
    <w:rsid w:val="0F4075C9"/>
    <w:rsid w:val="0F723A41"/>
    <w:rsid w:val="10F22B45"/>
    <w:rsid w:val="1111746F"/>
    <w:rsid w:val="11214C3A"/>
    <w:rsid w:val="11D64215"/>
    <w:rsid w:val="12F6691D"/>
    <w:rsid w:val="13B80076"/>
    <w:rsid w:val="14D94748"/>
    <w:rsid w:val="1716441F"/>
    <w:rsid w:val="18090EA0"/>
    <w:rsid w:val="180970F2"/>
    <w:rsid w:val="19E03E83"/>
    <w:rsid w:val="1B634D6B"/>
    <w:rsid w:val="1BBE6BA7"/>
    <w:rsid w:val="1C20360F"/>
    <w:rsid w:val="1C4044C0"/>
    <w:rsid w:val="202F16C0"/>
    <w:rsid w:val="204D5FEA"/>
    <w:rsid w:val="20C52024"/>
    <w:rsid w:val="211D3C0E"/>
    <w:rsid w:val="214E5B76"/>
    <w:rsid w:val="219C2D85"/>
    <w:rsid w:val="22A85759"/>
    <w:rsid w:val="23476D20"/>
    <w:rsid w:val="236D59C7"/>
    <w:rsid w:val="2393640A"/>
    <w:rsid w:val="24704055"/>
    <w:rsid w:val="24AA57B9"/>
    <w:rsid w:val="250550E5"/>
    <w:rsid w:val="25464F33"/>
    <w:rsid w:val="264A7253"/>
    <w:rsid w:val="2694079E"/>
    <w:rsid w:val="2879797C"/>
    <w:rsid w:val="29B64C00"/>
    <w:rsid w:val="2A353D77"/>
    <w:rsid w:val="2D9708A4"/>
    <w:rsid w:val="2DD23BD1"/>
    <w:rsid w:val="2E344345"/>
    <w:rsid w:val="2E734E6D"/>
    <w:rsid w:val="2FB120F1"/>
    <w:rsid w:val="305B205D"/>
    <w:rsid w:val="307355F9"/>
    <w:rsid w:val="30B55C11"/>
    <w:rsid w:val="30BD0622"/>
    <w:rsid w:val="30DD6F16"/>
    <w:rsid w:val="316A69FC"/>
    <w:rsid w:val="321A21C3"/>
    <w:rsid w:val="322E5C7B"/>
    <w:rsid w:val="345117AD"/>
    <w:rsid w:val="34826544"/>
    <w:rsid w:val="357240D1"/>
    <w:rsid w:val="35942299"/>
    <w:rsid w:val="35B77D36"/>
    <w:rsid w:val="35E45262"/>
    <w:rsid w:val="36BE7B19"/>
    <w:rsid w:val="37A20571"/>
    <w:rsid w:val="37A75B88"/>
    <w:rsid w:val="381F1BC2"/>
    <w:rsid w:val="385201EA"/>
    <w:rsid w:val="3A013C75"/>
    <w:rsid w:val="3A157721"/>
    <w:rsid w:val="3A571AE7"/>
    <w:rsid w:val="3AC0143A"/>
    <w:rsid w:val="3AC70A1B"/>
    <w:rsid w:val="3C1732DC"/>
    <w:rsid w:val="3C4F6F1A"/>
    <w:rsid w:val="3C7B7D0F"/>
    <w:rsid w:val="3C836BC3"/>
    <w:rsid w:val="3D193084"/>
    <w:rsid w:val="3D31435C"/>
    <w:rsid w:val="3D3954D4"/>
    <w:rsid w:val="3E083824"/>
    <w:rsid w:val="3E737427"/>
    <w:rsid w:val="3EBE5D54"/>
    <w:rsid w:val="411249BA"/>
    <w:rsid w:val="414A7CB0"/>
    <w:rsid w:val="420C31B7"/>
    <w:rsid w:val="426B25D4"/>
    <w:rsid w:val="43000F6E"/>
    <w:rsid w:val="43525236"/>
    <w:rsid w:val="44906321"/>
    <w:rsid w:val="45554E75"/>
    <w:rsid w:val="45B95404"/>
    <w:rsid w:val="468A0B4E"/>
    <w:rsid w:val="4698326B"/>
    <w:rsid w:val="4792415F"/>
    <w:rsid w:val="492928A1"/>
    <w:rsid w:val="4A037596"/>
    <w:rsid w:val="4A111CB3"/>
    <w:rsid w:val="4CD048A1"/>
    <w:rsid w:val="4CF3744D"/>
    <w:rsid w:val="4D0E4287"/>
    <w:rsid w:val="4D602609"/>
    <w:rsid w:val="4EC866B8"/>
    <w:rsid w:val="4F22401A"/>
    <w:rsid w:val="4F9F4B49"/>
    <w:rsid w:val="4FFF6109"/>
    <w:rsid w:val="51CD2963"/>
    <w:rsid w:val="520619D1"/>
    <w:rsid w:val="521C7446"/>
    <w:rsid w:val="524E076B"/>
    <w:rsid w:val="526F3A1A"/>
    <w:rsid w:val="527032EE"/>
    <w:rsid w:val="537D3D2E"/>
    <w:rsid w:val="53AC0356"/>
    <w:rsid w:val="552B174F"/>
    <w:rsid w:val="55346855"/>
    <w:rsid w:val="561641AD"/>
    <w:rsid w:val="56DC71A4"/>
    <w:rsid w:val="575B631B"/>
    <w:rsid w:val="585146D9"/>
    <w:rsid w:val="5853793A"/>
    <w:rsid w:val="59201FD4"/>
    <w:rsid w:val="59883613"/>
    <w:rsid w:val="59BD32BD"/>
    <w:rsid w:val="5AF745AD"/>
    <w:rsid w:val="5B15697F"/>
    <w:rsid w:val="5B2D6220"/>
    <w:rsid w:val="5B8A3673"/>
    <w:rsid w:val="5BB26726"/>
    <w:rsid w:val="5CDB3A5A"/>
    <w:rsid w:val="5CF52D6E"/>
    <w:rsid w:val="5CFF3BED"/>
    <w:rsid w:val="5D845EA0"/>
    <w:rsid w:val="5DB9023F"/>
    <w:rsid w:val="5EB36A3D"/>
    <w:rsid w:val="5EFF7ED4"/>
    <w:rsid w:val="5F8E3006"/>
    <w:rsid w:val="63747BEE"/>
    <w:rsid w:val="643C74D4"/>
    <w:rsid w:val="644E5694"/>
    <w:rsid w:val="646507D9"/>
    <w:rsid w:val="659F7D1B"/>
    <w:rsid w:val="66B21CD0"/>
    <w:rsid w:val="68775D75"/>
    <w:rsid w:val="6A2151A2"/>
    <w:rsid w:val="6A554E4C"/>
    <w:rsid w:val="6A7C3D5D"/>
    <w:rsid w:val="6A7E0847"/>
    <w:rsid w:val="6AE368FC"/>
    <w:rsid w:val="6B511AB7"/>
    <w:rsid w:val="6BBD539F"/>
    <w:rsid w:val="6DCB0107"/>
    <w:rsid w:val="6E2E6F3A"/>
    <w:rsid w:val="70057314"/>
    <w:rsid w:val="700D7F77"/>
    <w:rsid w:val="708E10B8"/>
    <w:rsid w:val="70C1148D"/>
    <w:rsid w:val="718304F0"/>
    <w:rsid w:val="71973F9C"/>
    <w:rsid w:val="72D57472"/>
    <w:rsid w:val="735F6D3B"/>
    <w:rsid w:val="739C7F8F"/>
    <w:rsid w:val="73ED07EB"/>
    <w:rsid w:val="74716D26"/>
    <w:rsid w:val="74E7348C"/>
    <w:rsid w:val="754601B3"/>
    <w:rsid w:val="75894543"/>
    <w:rsid w:val="769907B6"/>
    <w:rsid w:val="76E41A31"/>
    <w:rsid w:val="78283BA0"/>
    <w:rsid w:val="78FF6FF6"/>
    <w:rsid w:val="797C23F5"/>
    <w:rsid w:val="79DC2E94"/>
    <w:rsid w:val="79EA7513"/>
    <w:rsid w:val="7C5A4544"/>
    <w:rsid w:val="7CCB71F0"/>
    <w:rsid w:val="7CD262A7"/>
    <w:rsid w:val="7CF14EA8"/>
    <w:rsid w:val="7CF624BE"/>
    <w:rsid w:val="7D3E79C1"/>
    <w:rsid w:val="7D9615AC"/>
    <w:rsid w:val="7E837D82"/>
    <w:rsid w:val="7E8A55B4"/>
    <w:rsid w:val="7F5F07EF"/>
    <w:rsid w:val="7FCB7B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BD4886"/>
  <w15:docId w15:val="{D383821D-E9E5-4A8E-8B01-3A19E34C1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eastAsia="en-US"/>
    </w:rPr>
  </w:style>
  <w:style w:type="paragraph" w:styleId="1">
    <w:name w:val="heading 1"/>
    <w:basedOn w:val="a0"/>
    <w:next w:val="a"/>
    <w:uiPriority w:val="9"/>
    <w:qFormat/>
    <w:pPr>
      <w:keepNext/>
      <w:keepLines/>
      <w:numPr>
        <w:numId w:val="1"/>
      </w:numPr>
      <w:pBdr>
        <w:top w:val="single" w:sz="12" w:space="3" w:color="auto"/>
      </w:pBdr>
      <w:spacing w:before="240" w:after="180"/>
      <w:ind w:left="420"/>
      <w:outlineLvl w:val="0"/>
    </w:pPr>
    <w:rPr>
      <w:rFonts w:eastAsia="Arial"/>
      <w:b w:val="0"/>
      <w:sz w:val="36"/>
      <w:lang w:val="en-GB"/>
    </w:rPr>
  </w:style>
  <w:style w:type="paragraph" w:styleId="2">
    <w:name w:val="heading 2"/>
    <w:basedOn w:val="1"/>
    <w:next w:val="a"/>
    <w:uiPriority w:val="9"/>
    <w:qFormat/>
    <w:pPr>
      <w:numPr>
        <w:ilvl w:val="1"/>
      </w:numPr>
      <w:pBdr>
        <w:top w:val="none" w:sz="0" w:space="0" w:color="auto"/>
      </w:pBdr>
      <w:spacing w:before="180"/>
      <w:ind w:left="839" w:hanging="839"/>
      <w:outlineLvl w:val="1"/>
    </w:pPr>
    <w:rPr>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4">
    <w:name w:val="annotation text"/>
    <w:basedOn w:val="a"/>
    <w:link w:val="a5"/>
    <w:qFormat/>
  </w:style>
  <w:style w:type="paragraph" w:styleId="a6">
    <w:name w:val="Body Text"/>
    <w:basedOn w:val="a"/>
    <w:qFormat/>
    <w:pPr>
      <w:spacing w:after="120"/>
    </w:pPr>
    <w:rPr>
      <w:lang w:val="en-GB"/>
    </w:rPr>
  </w:style>
  <w:style w:type="paragraph" w:styleId="a7">
    <w:name w:val="footer"/>
    <w:basedOn w:val="a"/>
    <w:link w:val="a8"/>
    <w:pPr>
      <w:tabs>
        <w:tab w:val="center" w:pos="4153"/>
        <w:tab w:val="right" w:pos="8306"/>
      </w:tabs>
      <w:snapToGrid w:val="0"/>
    </w:pPr>
    <w:rPr>
      <w:sz w:val="18"/>
      <w:szCs w:val="18"/>
    </w:rPr>
  </w:style>
  <w:style w:type="paragraph" w:styleId="a9">
    <w:name w:val="Normal (Web)"/>
    <w:basedOn w:val="a"/>
    <w:qFormat/>
    <w:rPr>
      <w:sz w:val="24"/>
    </w:rPr>
  </w:style>
  <w:style w:type="paragraph" w:styleId="aa">
    <w:name w:val="annotation subject"/>
    <w:basedOn w:val="a4"/>
    <w:next w:val="a4"/>
    <w:link w:val="ab"/>
    <w:qFormat/>
    <w:rPr>
      <w:b/>
      <w:bCs/>
    </w:rPr>
  </w:style>
  <w:style w:type="table" w:styleId="a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1"/>
    <w:qFormat/>
    <w:rPr>
      <w:b/>
    </w:rPr>
  </w:style>
  <w:style w:type="character" w:styleId="ae">
    <w:name w:val="annotation reference"/>
    <w:basedOn w:val="a1"/>
    <w:qFormat/>
    <w:rPr>
      <w:sz w:val="21"/>
      <w:szCs w:val="21"/>
    </w:rPr>
  </w:style>
  <w:style w:type="paragraph" w:customStyle="1" w:styleId="CRCoverPage">
    <w:name w:val="CR Cover Page"/>
    <w:qFormat/>
    <w:pPr>
      <w:spacing w:after="120"/>
    </w:pPr>
    <w:rPr>
      <w:rFonts w:ascii="Arial" w:eastAsia="MS Mincho" w:hAnsi="Arial"/>
      <w:lang w:val="en-GB" w:eastAsia="en-US"/>
    </w:rPr>
  </w:style>
  <w:style w:type="paragraph" w:customStyle="1" w:styleId="TH">
    <w:name w:val="TH"/>
    <w:basedOn w:val="a"/>
    <w:qFormat/>
    <w:pPr>
      <w:keepNext/>
      <w:keepLines/>
      <w:spacing w:before="60"/>
      <w:jc w:val="center"/>
    </w:pPr>
    <w:rPr>
      <w:rFonts w:ascii="Arial" w:hAnsi="Arial"/>
      <w: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10">
    <w:name w:val="修订1"/>
    <w:hidden/>
    <w:uiPriority w:val="99"/>
    <w:unhideWhenUsed/>
    <w:qFormat/>
    <w:rPr>
      <w:lang w:eastAsia="en-US"/>
    </w:rPr>
  </w:style>
  <w:style w:type="character" w:customStyle="1" w:styleId="a5">
    <w:name w:val="批注文字 字符"/>
    <w:basedOn w:val="a1"/>
    <w:link w:val="a4"/>
    <w:qFormat/>
    <w:rPr>
      <w:lang w:eastAsia="en-US"/>
    </w:rPr>
  </w:style>
  <w:style w:type="character" w:customStyle="1" w:styleId="ab">
    <w:name w:val="批注主题 字符"/>
    <w:basedOn w:val="a5"/>
    <w:link w:val="aa"/>
    <w:qFormat/>
    <w:rPr>
      <w:b/>
      <w:bCs/>
      <w:lang w:eastAsia="en-US"/>
    </w:rPr>
  </w:style>
  <w:style w:type="paragraph" w:customStyle="1" w:styleId="20">
    <w:name w:val="修订2"/>
    <w:hidden/>
    <w:uiPriority w:val="99"/>
    <w:unhideWhenUsed/>
    <w:qFormat/>
    <w:rPr>
      <w:lang w:eastAsia="en-US"/>
    </w:rPr>
  </w:style>
  <w:style w:type="paragraph" w:styleId="af">
    <w:name w:val="List Paragraph"/>
    <w:basedOn w:val="a"/>
    <w:uiPriority w:val="99"/>
    <w:unhideWhenUsed/>
    <w:pPr>
      <w:ind w:firstLineChars="200" w:firstLine="420"/>
    </w:pPr>
  </w:style>
  <w:style w:type="paragraph" w:customStyle="1" w:styleId="3">
    <w:name w:val="修订3"/>
    <w:hidden/>
    <w:uiPriority w:val="99"/>
    <w:unhideWhenUsed/>
    <w:qFormat/>
    <w:rPr>
      <w:lang w:eastAsia="en-US"/>
    </w:rPr>
  </w:style>
  <w:style w:type="character" w:customStyle="1" w:styleId="a8">
    <w:name w:val="页脚 字符"/>
    <w:basedOn w:val="a1"/>
    <w:link w:val="a7"/>
    <w:qFormat/>
    <w:rPr>
      <w:sz w:val="18"/>
      <w:szCs w:val="18"/>
      <w:lang w:eastAsia="en-US"/>
    </w:rPr>
  </w:style>
  <w:style w:type="paragraph" w:styleId="af0">
    <w:name w:val="Revision"/>
    <w:hidden/>
    <w:uiPriority w:val="99"/>
    <w:unhideWhenUsed/>
    <w:rsid w:val="00E0577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7</Pages>
  <Words>2822</Words>
  <Characters>16091</Characters>
  <Application>Microsoft Office Word</Application>
  <DocSecurity>0</DocSecurity>
  <Lines>134</Lines>
  <Paragraphs>37</Paragraphs>
  <ScaleCrop>false</ScaleCrop>
  <Company/>
  <LinksUpToDate>false</LinksUpToDate>
  <CharactersWithSpaces>18876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袁冰冰</dc:creator>
  <cp:lastModifiedBy>China Telecom</cp:lastModifiedBy>
  <cp:revision>38</cp:revision>
  <dcterms:created xsi:type="dcterms:W3CDTF">2025-08-05T02:36:00Z</dcterms:created>
  <dcterms:modified xsi:type="dcterms:W3CDTF">2025-09-30T09:30:00Z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B09970D7BCCD40F28D3AFD461BC2F6BA_13</vt:lpwstr>
  </property>
  <property fmtid="{D5CDD505-2E9C-101B-9397-08002B2CF9AE}" pid="4" name="KSOTemplateDocerSaveRecord">
    <vt:lpwstr>eyJoZGlkIjoiMjU4ZTc4MTRhNTIxOTQyZDM1ODQ3YTY0Yjc5ZDgyY2EiLCJ1c2VySWQiOiIzMDEyMTY5NDUifQ==</vt:lpwstr>
  </property>
</Properties>
</file>